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4C82" w14:textId="6553990E"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FF4E00"/>
          <w:sz w:val="30"/>
          <w:szCs w:val="30"/>
        </w:rPr>
        <w:t>Influenza vaccines</w:t>
      </w:r>
      <w:r>
        <w:rPr>
          <w:rFonts w:ascii="Arial" w:eastAsia="Times New Roman" w:hAnsi="Arial" w:cs="Arial"/>
          <w:color w:val="FF4E00"/>
          <w:sz w:val="30"/>
          <w:szCs w:val="30"/>
        </w:rPr>
        <w:t xml:space="preserve"> 2024-2025 season</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2024/2025 Influenza Vaccine Program pre-book update</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3306"/>
        <w:gridCol w:w="2848"/>
        <w:gridCol w:w="4196"/>
      </w:tblGrid>
      <w:tr w:rsidR="008F391D" w14:paraId="44B60DCF" w14:textId="77777777" w:rsidTr="008F391D">
        <w:tc>
          <w:tcPr>
            <w:tcW w:w="0" w:type="auto"/>
            <w:tcBorders>
              <w:top w:val="nil"/>
              <w:left w:val="nil"/>
              <w:bottom w:val="single" w:sz="18" w:space="0" w:color="FF4E00"/>
              <w:right w:val="nil"/>
            </w:tcBorders>
            <w:shd w:val="clear" w:color="auto" w:fill="FFFFFF"/>
            <w:vAlign w:val="bottom"/>
            <w:hideMark/>
          </w:tcPr>
          <w:p w14:paraId="6A5800F3"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Supplier</w:t>
            </w:r>
          </w:p>
        </w:tc>
        <w:tc>
          <w:tcPr>
            <w:tcW w:w="0" w:type="auto"/>
            <w:tcBorders>
              <w:top w:val="nil"/>
              <w:left w:val="nil"/>
              <w:bottom w:val="single" w:sz="18" w:space="0" w:color="FF4E00"/>
              <w:right w:val="nil"/>
            </w:tcBorders>
            <w:shd w:val="clear" w:color="auto" w:fill="FFFFFF"/>
            <w:vAlign w:val="bottom"/>
            <w:hideMark/>
          </w:tcPr>
          <w:p w14:paraId="4D294F81"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Contract No.</w:t>
            </w:r>
          </w:p>
        </w:tc>
        <w:tc>
          <w:tcPr>
            <w:tcW w:w="0" w:type="auto"/>
            <w:tcBorders>
              <w:top w:val="nil"/>
              <w:left w:val="nil"/>
              <w:bottom w:val="single" w:sz="18" w:space="0" w:color="FF4E00"/>
              <w:right w:val="nil"/>
            </w:tcBorders>
            <w:shd w:val="clear" w:color="auto" w:fill="FFFFFF"/>
            <w:vAlign w:val="bottom"/>
            <w:hideMark/>
          </w:tcPr>
          <w:p w14:paraId="44DBF0EA"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Status</w:t>
            </w:r>
          </w:p>
        </w:tc>
      </w:tr>
      <w:tr w:rsidR="008F391D" w14:paraId="1C1B26A8" w14:textId="77777777" w:rsidTr="008F391D">
        <w:tc>
          <w:tcPr>
            <w:tcW w:w="0" w:type="auto"/>
            <w:tcBorders>
              <w:top w:val="nil"/>
              <w:left w:val="nil"/>
              <w:bottom w:val="single" w:sz="6" w:space="0" w:color="999999"/>
              <w:right w:val="nil"/>
            </w:tcBorders>
            <w:shd w:val="clear" w:color="auto" w:fill="FFFFFF"/>
            <w:hideMark/>
          </w:tcPr>
          <w:p w14:paraId="173C9F02"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GlaxoSmithKline*</w:t>
            </w:r>
          </w:p>
        </w:tc>
        <w:tc>
          <w:tcPr>
            <w:tcW w:w="0" w:type="auto"/>
            <w:tcBorders>
              <w:top w:val="nil"/>
              <w:left w:val="nil"/>
              <w:bottom w:val="single" w:sz="6" w:space="0" w:color="999999"/>
              <w:right w:val="nil"/>
            </w:tcBorders>
            <w:shd w:val="clear" w:color="auto" w:fill="FFFFFF"/>
            <w:hideMark/>
          </w:tcPr>
          <w:p w14:paraId="0BACDD48"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RX6040</w:t>
            </w:r>
          </w:p>
        </w:tc>
        <w:tc>
          <w:tcPr>
            <w:tcW w:w="0" w:type="auto"/>
            <w:tcBorders>
              <w:top w:val="nil"/>
              <w:left w:val="nil"/>
              <w:bottom w:val="single" w:sz="6" w:space="0" w:color="999999"/>
              <w:right w:val="nil"/>
            </w:tcBorders>
            <w:shd w:val="clear" w:color="auto" w:fill="FFFFFF"/>
            <w:hideMark/>
          </w:tcPr>
          <w:p w14:paraId="01B1C69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Effective Jan. 15, 2024</w:t>
            </w:r>
          </w:p>
        </w:tc>
      </w:tr>
      <w:tr w:rsidR="008F391D" w14:paraId="16F68A83" w14:textId="77777777" w:rsidTr="008F391D">
        <w:tc>
          <w:tcPr>
            <w:tcW w:w="0" w:type="auto"/>
            <w:tcBorders>
              <w:top w:val="nil"/>
              <w:left w:val="nil"/>
              <w:bottom w:val="single" w:sz="6" w:space="0" w:color="999999"/>
              <w:right w:val="nil"/>
            </w:tcBorders>
            <w:shd w:val="clear" w:color="auto" w:fill="FFFFFF"/>
            <w:hideMark/>
          </w:tcPr>
          <w:p w14:paraId="58A6B22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Sanofi Pasteur*</w:t>
            </w:r>
          </w:p>
        </w:tc>
        <w:tc>
          <w:tcPr>
            <w:tcW w:w="0" w:type="auto"/>
            <w:tcBorders>
              <w:top w:val="nil"/>
              <w:left w:val="nil"/>
              <w:bottom w:val="single" w:sz="6" w:space="0" w:color="999999"/>
              <w:right w:val="nil"/>
            </w:tcBorders>
            <w:shd w:val="clear" w:color="auto" w:fill="FFFFFF"/>
            <w:hideMark/>
          </w:tcPr>
          <w:p w14:paraId="0E0E739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RX80240</w:t>
            </w:r>
          </w:p>
        </w:tc>
        <w:tc>
          <w:tcPr>
            <w:tcW w:w="0" w:type="auto"/>
            <w:tcBorders>
              <w:top w:val="nil"/>
              <w:left w:val="nil"/>
              <w:bottom w:val="single" w:sz="6" w:space="0" w:color="999999"/>
              <w:right w:val="nil"/>
            </w:tcBorders>
            <w:shd w:val="clear" w:color="auto" w:fill="FFFFFF"/>
            <w:hideMark/>
          </w:tcPr>
          <w:p w14:paraId="5B7447E2"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Effective Jan. 1, 2024</w:t>
            </w:r>
          </w:p>
        </w:tc>
      </w:tr>
    </w:tbl>
    <w:p w14:paraId="0B2C7C2A" w14:textId="77777777" w:rsidR="008F391D" w:rsidRDefault="008F391D" w:rsidP="008F391D">
      <w:pPr>
        <w:spacing w:line="315" w:lineRule="exact"/>
        <w:rPr>
          <w:rFonts w:ascii="Arial" w:eastAsia="Times New Roman" w:hAnsi="Arial" w:cs="Arial"/>
          <w:vanish/>
          <w:color w:val="221F20"/>
          <w:sz w:val="21"/>
          <w:szCs w:val="21"/>
        </w:rPr>
      </w:pPr>
    </w:p>
    <w:tbl>
      <w:tblPr>
        <w:tblW w:w="10350" w:type="dxa"/>
        <w:shd w:val="clear" w:color="auto" w:fill="FFFFFF"/>
        <w:tblCellMar>
          <w:left w:w="0" w:type="dxa"/>
          <w:right w:w="0" w:type="dxa"/>
        </w:tblCellMar>
        <w:tblLook w:val="04A0" w:firstRow="1" w:lastRow="0" w:firstColumn="1" w:lastColumn="0" w:noHBand="0" w:noVBand="1"/>
      </w:tblPr>
      <w:tblGrid>
        <w:gridCol w:w="10350"/>
      </w:tblGrid>
      <w:tr w:rsidR="008F391D" w14:paraId="6508B6C9" w14:textId="77777777" w:rsidTr="008F391D">
        <w:tc>
          <w:tcPr>
            <w:tcW w:w="90" w:type="dxa"/>
            <w:shd w:val="clear" w:color="auto" w:fill="FFFFFF"/>
            <w:vAlign w:val="center"/>
            <w:hideMark/>
          </w:tcPr>
          <w:p w14:paraId="44A4100E" w14:textId="3E3617C0" w:rsidR="008F391D" w:rsidRDefault="008F391D">
            <w:pPr>
              <w:spacing w:line="0" w:lineRule="atLeast"/>
              <w:rPr>
                <w:rFonts w:ascii="Arial" w:eastAsia="Times New Roman" w:hAnsi="Arial" w:cs="Arial"/>
                <w:sz w:val="2"/>
                <w:szCs w:val="2"/>
              </w:rPr>
            </w:pPr>
            <w:r>
              <w:rPr>
                <w:rFonts w:ascii="Arial" w:eastAsia="Times New Roman" w:hAnsi="Arial" w:cs="Arial"/>
                <w:noProof/>
                <w:sz w:val="2"/>
                <w:szCs w:val="2"/>
              </w:rPr>
              <w:drawing>
                <wp:inline distT="0" distB="0" distL="0" distR="0" wp14:anchorId="74BE248A" wp14:editId="795147A2">
                  <wp:extent cx="57150" cy="5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8F391D" w14:paraId="68E28FAB" w14:textId="77777777" w:rsidTr="008F391D">
        <w:tc>
          <w:tcPr>
            <w:tcW w:w="90" w:type="dxa"/>
            <w:shd w:val="clear" w:color="auto" w:fill="FFFFFF"/>
            <w:vAlign w:val="center"/>
            <w:hideMark/>
          </w:tcPr>
          <w:p w14:paraId="1A5924B9" w14:textId="77777777" w:rsidR="008F391D" w:rsidRDefault="008F391D">
            <w:pPr>
              <w:spacing w:before="15" w:line="285" w:lineRule="exact"/>
              <w:rPr>
                <w:rFonts w:ascii="Arial" w:eastAsia="Times New Roman" w:hAnsi="Arial" w:cs="Arial"/>
                <w:color w:val="221F20"/>
                <w:sz w:val="18"/>
                <w:szCs w:val="18"/>
              </w:rPr>
            </w:pPr>
            <w:r>
              <w:rPr>
                <w:rStyle w:val="Emphasis"/>
                <w:rFonts w:ascii="Arial" w:eastAsia="Times New Roman" w:hAnsi="Arial" w:cs="Arial"/>
                <w:color w:val="221F20"/>
                <w:sz w:val="18"/>
                <w:szCs w:val="18"/>
              </w:rPr>
              <w:t>*The World Health Organization (WHO) and FDA's Vaccines and Related Biological Products Advisory Committee decided to transition to trivalent influenza vaccines because the B/Yamagata strain has not been detected since March 2020. The WHO stated that the absence of confirmed detection of this strain indicates a very low risk of infection, and therefore, it is no longer necessary to include it in quadrivalent influenza vaccines. The FDA's Advisory Committee also voted to remove the Yamagata-B strain as soon as possible. This transition does not impact the current flu season (2023-2024), and the Centers for Disease Control and Prevention (CDC) recommends using the licensed, recommended and age-appropriate flu vaccines currently available in the market to protect against the flu.</w:t>
            </w:r>
          </w:p>
        </w:tc>
      </w:tr>
    </w:tbl>
    <w:p w14:paraId="56AE7161" w14:textId="77777777" w:rsidR="008F391D" w:rsidRDefault="008F391D" w:rsidP="008F391D">
      <w:pPr>
        <w:spacing w:before="15" w:after="240" w:line="315" w:lineRule="exact"/>
        <w:rPr>
          <w:rFonts w:ascii="Arial" w:eastAsia="Times New Roman" w:hAnsi="Arial" w:cs="Arial"/>
          <w:color w:val="221F20"/>
          <w:sz w:val="21"/>
          <w:szCs w:val="21"/>
        </w:rPr>
      </w:pPr>
      <w:r>
        <w:rPr>
          <w:rFonts w:ascii="Arial" w:eastAsia="Times New Roman" w:hAnsi="Arial" w:cs="Arial"/>
          <w:color w:val="221F20"/>
          <w:sz w:val="21"/>
          <w:szCs w:val="21"/>
        </w:rPr>
        <w:br/>
        <w:t>Please note: Suppliers may make the transition from quadrivalent to trivalent formulations for the 2024-2025 season. Prices and terms for influenza vaccine will remain the same. NDCs and trivalent formulations will be announced when available.</w:t>
      </w:r>
    </w:p>
    <w:tbl>
      <w:tblPr>
        <w:tblW w:w="0" w:type="auto"/>
        <w:tblCellMar>
          <w:left w:w="0" w:type="dxa"/>
          <w:right w:w="0" w:type="dxa"/>
        </w:tblCellMar>
        <w:tblLook w:val="04A0" w:firstRow="1" w:lastRow="0" w:firstColumn="1" w:lastColumn="0" w:noHBand="0" w:noVBand="1"/>
      </w:tblPr>
      <w:tblGrid>
        <w:gridCol w:w="901"/>
        <w:gridCol w:w="300"/>
      </w:tblGrid>
      <w:tr w:rsidR="008F391D" w14:paraId="660E085E" w14:textId="77777777" w:rsidTr="008F391D">
        <w:trPr>
          <w:trHeight w:val="210"/>
        </w:trPr>
        <w:tc>
          <w:tcPr>
            <w:tcW w:w="0" w:type="auto"/>
            <w:shd w:val="clear" w:color="auto" w:fill="FFFFFF"/>
            <w:hideMark/>
          </w:tcPr>
          <w:p w14:paraId="7D408368" w14:textId="77777777" w:rsidR="008F391D" w:rsidRDefault="008F391D">
            <w:pPr>
              <w:spacing w:before="15" w:line="315" w:lineRule="exact"/>
              <w:rPr>
                <w:rFonts w:ascii="Arial" w:eastAsia="Times New Roman" w:hAnsi="Arial" w:cs="Arial"/>
                <w:color w:val="FF4E00"/>
                <w:sz w:val="18"/>
                <w:szCs w:val="18"/>
              </w:rPr>
            </w:pPr>
            <w:hyperlink w:anchor="emailtop" w:history="1">
              <w:r>
                <w:rPr>
                  <w:rStyle w:val="Hyperlink"/>
                  <w:rFonts w:ascii="Arial" w:eastAsia="Times New Roman" w:hAnsi="Arial" w:cs="Arial"/>
                  <w:sz w:val="18"/>
                  <w:szCs w:val="18"/>
                </w:rPr>
                <w:t>Back to top</w:t>
              </w:r>
            </w:hyperlink>
          </w:p>
        </w:tc>
        <w:tc>
          <w:tcPr>
            <w:tcW w:w="300" w:type="dxa"/>
            <w:shd w:val="clear" w:color="auto" w:fill="FFFFFF"/>
            <w:vAlign w:val="center"/>
            <w:hideMark/>
          </w:tcPr>
          <w:p w14:paraId="2EFE1F93" w14:textId="0D03C6D4" w:rsidR="008F391D" w:rsidRDefault="008F391D">
            <w:pPr>
              <w:spacing w:before="15" w:line="315" w:lineRule="exact"/>
              <w:jc w:val="right"/>
              <w:rPr>
                <w:rFonts w:ascii="Arial" w:eastAsia="Times New Roman" w:hAnsi="Arial" w:cs="Arial"/>
                <w:color w:val="FF4E00"/>
                <w:sz w:val="18"/>
                <w:szCs w:val="18"/>
              </w:rPr>
            </w:pPr>
            <w:r>
              <w:rPr>
                <w:rFonts w:ascii="Arial" w:eastAsia="Times New Roman" w:hAnsi="Arial" w:cs="Arial"/>
                <w:noProof/>
                <w:color w:val="FF4E00"/>
                <w:sz w:val="18"/>
                <w:szCs w:val="18"/>
              </w:rPr>
              <w:drawing>
                <wp:inline distT="0" distB="0" distL="0" distR="0" wp14:anchorId="3D8CBCB7" wp14:editId="6085EDE1">
                  <wp:extent cx="101600" cy="95250"/>
                  <wp:effectExtent l="0" t="0" r="0" b="0"/>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95250"/>
                          </a:xfrm>
                          <a:prstGeom prst="rect">
                            <a:avLst/>
                          </a:prstGeom>
                          <a:noFill/>
                          <a:ln>
                            <a:noFill/>
                          </a:ln>
                        </pic:spPr>
                      </pic:pic>
                    </a:graphicData>
                  </a:graphic>
                </wp:inline>
              </w:drawing>
            </w:r>
          </w:p>
        </w:tc>
      </w:tr>
    </w:tbl>
    <w:p w14:paraId="4363E04E" w14:textId="77777777" w:rsidR="008F391D" w:rsidRDefault="008F391D" w:rsidP="008F391D">
      <w:pPr>
        <w:spacing w:before="15" w:line="315" w:lineRule="exact"/>
        <w:rPr>
          <w:rFonts w:ascii="Arial" w:eastAsia="Times New Roman" w:hAnsi="Arial" w:cs="Arial"/>
          <w:color w:val="221F20"/>
          <w:sz w:val="21"/>
          <w:szCs w:val="21"/>
        </w:rPr>
      </w:pPr>
      <w:bookmarkStart w:id="0" w:name="Influenzavaccines1"/>
      <w:bookmarkEnd w:id="0"/>
      <w:r>
        <w:rPr>
          <w:rFonts w:ascii="Arial" w:eastAsia="Times New Roman" w:hAnsi="Arial" w:cs="Arial"/>
          <w:color w:val="221F20"/>
          <w:sz w:val="21"/>
          <w:szCs w:val="21"/>
        </w:rPr>
        <w:br/>
      </w:r>
      <w:r>
        <w:rPr>
          <w:rStyle w:val="Strong"/>
          <w:rFonts w:ascii="Arial" w:eastAsia="Times New Roman" w:hAnsi="Arial" w:cs="Arial"/>
          <w:color w:val="221F20"/>
          <w:sz w:val="21"/>
          <w:szCs w:val="21"/>
        </w:rPr>
        <w:t>Product addition: GSK influenza vaccine 2024/2025 program (RX6040)</w:t>
      </w:r>
      <w:r>
        <w:rPr>
          <w:rFonts w:ascii="Arial" w:eastAsia="Times New Roman" w:hAnsi="Arial" w:cs="Arial"/>
          <w:color w:val="221F20"/>
          <w:sz w:val="21"/>
          <w:szCs w:val="21"/>
        </w:rPr>
        <w:br/>
        <w:t>Effective Jan. 15, GSK will offer 2024/25 influenza season product and pricing below through the Vizient agreement. GSK influenza vaccines ordered from a Vizient Authorized Distributor are subject to pricing and terms as determined by the respective distributor. Products and pricing under the Vizient agreement will be as follows:</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655"/>
        <w:gridCol w:w="4076"/>
        <w:gridCol w:w="1271"/>
        <w:gridCol w:w="2634"/>
        <w:gridCol w:w="1714"/>
      </w:tblGrid>
      <w:tr w:rsidR="008F391D" w14:paraId="1086C0D8" w14:textId="77777777" w:rsidTr="008F391D">
        <w:tc>
          <w:tcPr>
            <w:tcW w:w="0" w:type="auto"/>
            <w:tcBorders>
              <w:top w:val="nil"/>
              <w:left w:val="nil"/>
              <w:bottom w:val="single" w:sz="18" w:space="0" w:color="FF4E00"/>
              <w:right w:val="nil"/>
            </w:tcBorders>
            <w:shd w:val="clear" w:color="auto" w:fill="FFFFFF"/>
            <w:vAlign w:val="bottom"/>
            <w:hideMark/>
          </w:tcPr>
          <w:p w14:paraId="69A0E83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NDC</w:t>
            </w:r>
          </w:p>
        </w:tc>
        <w:tc>
          <w:tcPr>
            <w:tcW w:w="0" w:type="auto"/>
            <w:tcBorders>
              <w:top w:val="nil"/>
              <w:left w:val="nil"/>
              <w:bottom w:val="single" w:sz="18" w:space="0" w:color="FF4E00"/>
              <w:right w:val="nil"/>
            </w:tcBorders>
            <w:shd w:val="clear" w:color="auto" w:fill="FFFFFF"/>
            <w:vAlign w:val="bottom"/>
            <w:hideMark/>
          </w:tcPr>
          <w:p w14:paraId="5CF9D561"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Description</w:t>
            </w:r>
          </w:p>
        </w:tc>
        <w:tc>
          <w:tcPr>
            <w:tcW w:w="0" w:type="auto"/>
            <w:tcBorders>
              <w:top w:val="nil"/>
              <w:left w:val="nil"/>
              <w:bottom w:val="single" w:sz="18" w:space="0" w:color="FF4E00"/>
              <w:right w:val="nil"/>
            </w:tcBorders>
            <w:shd w:val="clear" w:color="auto" w:fill="FFFFFF"/>
            <w:vAlign w:val="bottom"/>
            <w:hideMark/>
          </w:tcPr>
          <w:p w14:paraId="777BE20C"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Age</w:t>
            </w:r>
          </w:p>
        </w:tc>
        <w:tc>
          <w:tcPr>
            <w:tcW w:w="0" w:type="auto"/>
            <w:tcBorders>
              <w:top w:val="nil"/>
              <w:left w:val="nil"/>
              <w:bottom w:val="single" w:sz="18" w:space="0" w:color="FF4E00"/>
              <w:right w:val="nil"/>
            </w:tcBorders>
            <w:shd w:val="clear" w:color="auto" w:fill="FFFFFF"/>
            <w:vAlign w:val="bottom"/>
            <w:hideMark/>
          </w:tcPr>
          <w:p w14:paraId="669BD135"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Vizient base contract price effective Jan. 15</w:t>
            </w:r>
          </w:p>
        </w:tc>
        <w:tc>
          <w:tcPr>
            <w:tcW w:w="0" w:type="auto"/>
            <w:tcBorders>
              <w:top w:val="nil"/>
              <w:left w:val="nil"/>
              <w:bottom w:val="single" w:sz="18" w:space="0" w:color="FF4E00"/>
              <w:right w:val="nil"/>
            </w:tcBorders>
            <w:shd w:val="clear" w:color="auto" w:fill="FFFFFF"/>
            <w:vAlign w:val="bottom"/>
            <w:hideMark/>
          </w:tcPr>
          <w:p w14:paraId="02B5B8FF"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Federal excise tax (FET)</w:t>
            </w:r>
          </w:p>
        </w:tc>
      </w:tr>
      <w:tr w:rsidR="008F391D" w14:paraId="024610BD" w14:textId="77777777" w:rsidTr="008F391D">
        <w:tc>
          <w:tcPr>
            <w:tcW w:w="0" w:type="auto"/>
            <w:tcBorders>
              <w:top w:val="nil"/>
              <w:left w:val="nil"/>
              <w:bottom w:val="single" w:sz="6" w:space="0" w:color="999999"/>
              <w:right w:val="nil"/>
            </w:tcBorders>
            <w:shd w:val="clear" w:color="auto" w:fill="FFFFFF"/>
            <w:hideMark/>
          </w:tcPr>
          <w:p w14:paraId="1CA0C669"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5EE86D8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Fluarix (2024/25 influenza vaccine formula) 10 x 0.5 mL Tip-Lok no needle syringes</w:t>
            </w:r>
          </w:p>
        </w:tc>
        <w:tc>
          <w:tcPr>
            <w:tcW w:w="0" w:type="auto"/>
            <w:tcBorders>
              <w:top w:val="nil"/>
              <w:left w:val="nil"/>
              <w:bottom w:val="single" w:sz="6" w:space="0" w:color="999999"/>
              <w:right w:val="nil"/>
            </w:tcBorders>
            <w:shd w:val="clear" w:color="auto" w:fill="FFFFFF"/>
            <w:hideMark/>
          </w:tcPr>
          <w:p w14:paraId="15BDD305"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 months and older</w:t>
            </w:r>
          </w:p>
        </w:tc>
        <w:tc>
          <w:tcPr>
            <w:tcW w:w="0" w:type="auto"/>
            <w:tcBorders>
              <w:top w:val="nil"/>
              <w:left w:val="nil"/>
              <w:bottom w:val="single" w:sz="6" w:space="0" w:color="999999"/>
              <w:right w:val="nil"/>
            </w:tcBorders>
            <w:shd w:val="clear" w:color="auto" w:fill="FFFFFF"/>
            <w:hideMark/>
          </w:tcPr>
          <w:p w14:paraId="2E552289"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$180.80</w:t>
            </w:r>
          </w:p>
        </w:tc>
        <w:tc>
          <w:tcPr>
            <w:tcW w:w="0" w:type="auto"/>
            <w:tcBorders>
              <w:top w:val="nil"/>
              <w:left w:val="nil"/>
              <w:bottom w:val="single" w:sz="6" w:space="0" w:color="999999"/>
              <w:right w:val="nil"/>
            </w:tcBorders>
            <w:shd w:val="clear" w:color="auto" w:fill="FFFFFF"/>
            <w:hideMark/>
          </w:tcPr>
          <w:p w14:paraId="131AB2B2"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$7.50</w:t>
            </w:r>
          </w:p>
        </w:tc>
      </w:tr>
      <w:tr w:rsidR="008F391D" w14:paraId="06F94DD2" w14:textId="77777777" w:rsidTr="008F391D">
        <w:tc>
          <w:tcPr>
            <w:tcW w:w="0" w:type="auto"/>
            <w:tcBorders>
              <w:top w:val="nil"/>
              <w:left w:val="nil"/>
              <w:bottom w:val="single" w:sz="6" w:space="0" w:color="999999"/>
              <w:right w:val="nil"/>
            </w:tcBorders>
            <w:shd w:val="clear" w:color="auto" w:fill="FFFFFF"/>
            <w:hideMark/>
          </w:tcPr>
          <w:p w14:paraId="54FCCD5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015F7D86"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FluLaval (2024/25 influenza vaccine formula)</w:t>
            </w:r>
            <w:r>
              <w:rPr>
                <w:rFonts w:ascii="Arial" w:eastAsia="Times New Roman" w:hAnsi="Arial" w:cs="Arial"/>
                <w:color w:val="221F20"/>
                <w:sz w:val="18"/>
                <w:szCs w:val="18"/>
              </w:rPr>
              <w:br/>
              <w:t>10 x 0.5 mL Tip-Lok no needle syringes</w:t>
            </w:r>
          </w:p>
        </w:tc>
        <w:tc>
          <w:tcPr>
            <w:tcW w:w="0" w:type="auto"/>
            <w:tcBorders>
              <w:top w:val="nil"/>
              <w:left w:val="nil"/>
              <w:bottom w:val="single" w:sz="6" w:space="0" w:color="999999"/>
              <w:right w:val="nil"/>
            </w:tcBorders>
            <w:shd w:val="clear" w:color="auto" w:fill="FFFFFF"/>
            <w:hideMark/>
          </w:tcPr>
          <w:p w14:paraId="475F3726"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 months and older</w:t>
            </w:r>
          </w:p>
        </w:tc>
        <w:tc>
          <w:tcPr>
            <w:tcW w:w="0" w:type="auto"/>
            <w:tcBorders>
              <w:top w:val="nil"/>
              <w:left w:val="nil"/>
              <w:bottom w:val="single" w:sz="6" w:space="0" w:color="999999"/>
              <w:right w:val="nil"/>
            </w:tcBorders>
            <w:shd w:val="clear" w:color="auto" w:fill="FFFFFF"/>
            <w:hideMark/>
          </w:tcPr>
          <w:p w14:paraId="2AD392DC"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$180.80</w:t>
            </w:r>
          </w:p>
        </w:tc>
        <w:tc>
          <w:tcPr>
            <w:tcW w:w="0" w:type="auto"/>
            <w:tcBorders>
              <w:top w:val="nil"/>
              <w:left w:val="nil"/>
              <w:bottom w:val="single" w:sz="6" w:space="0" w:color="999999"/>
              <w:right w:val="nil"/>
            </w:tcBorders>
            <w:shd w:val="clear" w:color="auto" w:fill="FFFFFF"/>
            <w:hideMark/>
          </w:tcPr>
          <w:p w14:paraId="11B5D000"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$7.50</w:t>
            </w:r>
          </w:p>
        </w:tc>
      </w:tr>
    </w:tbl>
    <w:p w14:paraId="252B1F26"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Pricing and terms above apply to direct orders only.</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Online:</w:t>
      </w:r>
      <w:r>
        <w:rPr>
          <w:rFonts w:ascii="Arial" w:eastAsia="Times New Roman" w:hAnsi="Arial" w:cs="Arial"/>
          <w:color w:val="221F20"/>
          <w:sz w:val="21"/>
          <w:szCs w:val="21"/>
        </w:rPr>
        <w:t xml:space="preserve"> </w:t>
      </w:r>
      <w:hyperlink r:id="rId7"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br/>
        <w:t xml:space="preserve">Orders will be accepted on a first-come, first-served basis subject to availability. Customers that purchased from GSK for the 2023/24 season through the GSK Flu Group Program and/or had a </w:t>
      </w:r>
      <w:r>
        <w:rPr>
          <w:rFonts w:ascii="Arial" w:eastAsia="Times New Roman" w:hAnsi="Arial" w:cs="Arial"/>
          <w:color w:val="221F20"/>
          <w:sz w:val="21"/>
          <w:szCs w:val="21"/>
        </w:rPr>
        <w:lastRenderedPageBreak/>
        <w:t>recurring flu vaccine reservation through GSK direct will be given priority with respect to placing an order for available doses for 2024/25.</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Early Reservation Discount:</w:t>
      </w:r>
      <w:r>
        <w:rPr>
          <w:rFonts w:ascii="Arial" w:eastAsia="Times New Roman" w:hAnsi="Arial" w:cs="Arial"/>
          <w:color w:val="221F20"/>
          <w:sz w:val="21"/>
          <w:szCs w:val="21"/>
        </w:rPr>
        <w:t xml:space="preserve"> Members can earn an Early Reservation Discount of 2% on their 2024/2025 GSK influenza vaccines purchases. This discount is for facilities that pre-book for the 2024/2025 influenza season through </w:t>
      </w:r>
      <w:hyperlink r:id="rId8"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t xml:space="preserve"> as of March 31, 2024. The discount is only available on 2024/2025 Supplier Influenza Vaccines pre-booked and purchased directly from Supplier via </w:t>
      </w:r>
      <w:hyperlink r:id="rId9"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t>.</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Prompt payment terms:</w:t>
      </w:r>
      <w:r>
        <w:rPr>
          <w:rFonts w:ascii="Arial" w:eastAsia="Times New Roman" w:hAnsi="Arial" w:cs="Arial"/>
          <w:color w:val="221F20"/>
          <w:sz w:val="21"/>
          <w:szCs w:val="21"/>
        </w:rPr>
        <w:t xml:space="preserve"> Prompt Pay discount is 2% for doses purchased direct from GSK, if the applicable invoice is paid within 90 days of the invoice issue date.</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Delivery guarantee:</w:t>
      </w:r>
      <w:r>
        <w:rPr>
          <w:rFonts w:ascii="Arial" w:eastAsia="Times New Roman" w:hAnsi="Arial" w:cs="Arial"/>
          <w:color w:val="221F20"/>
          <w:sz w:val="21"/>
          <w:szCs w:val="21"/>
        </w:rPr>
        <w:t xml:space="preserve"> GSK will provide an additional 10% discount on GSK influenza vaccine doses for members who are not part of an Influenza Vaccine Group Program (FGP) which were prebooked on or prior to March 31, 2024, and are shipped and invoiced after Oct. 18, 2024.</w:t>
      </w:r>
      <w:r>
        <w:rPr>
          <w:rFonts w:ascii="Arial" w:eastAsia="Times New Roman" w:hAnsi="Arial" w:cs="Arial"/>
          <w:color w:val="221F20"/>
          <w:sz w:val="21"/>
          <w:szCs w:val="21"/>
        </w:rPr>
        <w:br/>
      </w:r>
      <w:r>
        <w:rPr>
          <w:rFonts w:ascii="Arial" w:eastAsia="Times New Roman" w:hAnsi="Arial" w:cs="Arial"/>
          <w:color w:val="221F20"/>
          <w:sz w:val="21"/>
          <w:szCs w:val="21"/>
        </w:rPr>
        <w:br/>
        <w:t xml:space="preserve">This discount is only applicable to doses that are late due to GSK's inability to ship and invoice prior to Oct. 18, 2024, and will not apply if member facility chooses to delay shipment past Oct. 18, 2024. This delivery guarantee is only available on doses prebooked and purchased directly from GSK via </w:t>
      </w:r>
      <w:hyperlink r:id="rId10"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t>.</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Shipment of Fluarix/</w:t>
      </w:r>
      <w:proofErr w:type="spellStart"/>
      <w:r>
        <w:rPr>
          <w:rStyle w:val="Strong"/>
          <w:rFonts w:ascii="Arial" w:eastAsia="Times New Roman" w:hAnsi="Arial" w:cs="Arial"/>
          <w:color w:val="221F20"/>
          <w:sz w:val="21"/>
          <w:szCs w:val="21"/>
        </w:rPr>
        <w:t>Flulaval</w:t>
      </w:r>
      <w:proofErr w:type="spellEnd"/>
      <w:r>
        <w:rPr>
          <w:rStyle w:val="Strong"/>
          <w:rFonts w:ascii="Arial" w:eastAsia="Times New Roman" w:hAnsi="Arial" w:cs="Arial"/>
          <w:color w:val="221F20"/>
          <w:sz w:val="21"/>
          <w:szCs w:val="21"/>
        </w:rPr>
        <w:t xml:space="preserve"> orders:</w:t>
      </w:r>
      <w:r>
        <w:rPr>
          <w:rFonts w:ascii="Arial" w:eastAsia="Times New Roman" w:hAnsi="Arial" w:cs="Arial"/>
          <w:color w:val="221F20"/>
          <w:sz w:val="21"/>
          <w:szCs w:val="21"/>
        </w:rPr>
        <w:t xml:space="preserve"> Subject to product availability, GSK anticipates shipments of its influenza vaccines to begin in August 2024. GSK reserves the right to make partial shipments based on U.S. Food and Drug Administration (FDA) approval and availability.</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Returns:</w:t>
      </w:r>
      <w:r>
        <w:rPr>
          <w:rFonts w:ascii="Arial" w:eastAsia="Times New Roman" w:hAnsi="Arial" w:cs="Arial"/>
          <w:color w:val="221F20"/>
          <w:sz w:val="21"/>
          <w:szCs w:val="21"/>
        </w:rPr>
        <w:t xml:space="preserve"> Facilities will be eligible to return up to 15% of the total aggregate of GSK influenza vaccine doses purchased via </w:t>
      </w:r>
      <w:hyperlink r:id="rId11"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t xml:space="preserve"> for full credit. A Returned Goods Authorization must be obtained from GSK in advance of any return at </w:t>
      </w:r>
      <w:hyperlink r:id="rId12"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t>.</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GSK Flu Group Program (FGP) and Enhanced FGP</w:t>
      </w:r>
      <w:r>
        <w:rPr>
          <w:rFonts w:ascii="Arial" w:eastAsia="Times New Roman" w:hAnsi="Arial" w:cs="Arial"/>
          <w:color w:val="221F20"/>
          <w:sz w:val="21"/>
          <w:szCs w:val="21"/>
        </w:rPr>
        <w:br/>
      </w:r>
      <w:proofErr w:type="spellStart"/>
      <w:r>
        <w:rPr>
          <w:rFonts w:ascii="Arial" w:eastAsia="Times New Roman" w:hAnsi="Arial" w:cs="Arial"/>
          <w:color w:val="221F20"/>
          <w:sz w:val="21"/>
          <w:szCs w:val="21"/>
        </w:rPr>
        <w:t>FGP</w:t>
      </w:r>
      <w:proofErr w:type="spellEnd"/>
      <w:r>
        <w:rPr>
          <w:rFonts w:ascii="Arial" w:eastAsia="Times New Roman" w:hAnsi="Arial" w:cs="Arial"/>
          <w:color w:val="221F20"/>
          <w:sz w:val="21"/>
          <w:szCs w:val="21"/>
        </w:rPr>
        <w:t xml:space="preserve"> is a three-year contract (2024/2027) for the purchase of GSK flu vaccines that starting with the 2024/25 flu season and continues through the 2026/27 flu season. FGP eligibility includes health care systems made up of two or more acute and/or nonacute facilities and/or Retail Pharmacies, OR one centralized ordering and distribution location servicing the facilities operated by a single owner organization or as a business affiliation among the facilities and operates under a common decision-making process that is agreed to between the facilities in writing. Participation will be limited to immunizing sites only. To be eligible for participation in the FGP, GSK must be able to validate GSK's third-party data vendor is able to provide market share data for each participating facility.</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Benefits of FGP:</w:t>
      </w:r>
    </w:p>
    <w:tbl>
      <w:tblPr>
        <w:tblW w:w="10350" w:type="dxa"/>
        <w:tblCellMar>
          <w:left w:w="0" w:type="dxa"/>
          <w:right w:w="0" w:type="dxa"/>
        </w:tblCellMar>
        <w:tblLook w:val="04A0" w:firstRow="1" w:lastRow="0" w:firstColumn="1" w:lastColumn="0" w:noHBand="0" w:noVBand="1"/>
      </w:tblPr>
      <w:tblGrid>
        <w:gridCol w:w="158"/>
        <w:gridCol w:w="10192"/>
      </w:tblGrid>
      <w:tr w:rsidR="008F391D" w14:paraId="4AEE9439" w14:textId="77777777" w:rsidTr="008F391D">
        <w:tc>
          <w:tcPr>
            <w:tcW w:w="150" w:type="dxa"/>
            <w:tcMar>
              <w:top w:w="40" w:type="dxa"/>
              <w:left w:w="40" w:type="dxa"/>
              <w:bottom w:w="40" w:type="dxa"/>
              <w:right w:w="40" w:type="dxa"/>
            </w:tcMar>
            <w:hideMark/>
          </w:tcPr>
          <w:p w14:paraId="0256AE94"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lastRenderedPageBreak/>
              <w:t>•</w:t>
            </w:r>
          </w:p>
        </w:tc>
        <w:tc>
          <w:tcPr>
            <w:tcW w:w="9960" w:type="dxa"/>
            <w:tcMar>
              <w:top w:w="40" w:type="dxa"/>
              <w:left w:w="40" w:type="dxa"/>
              <w:bottom w:w="40" w:type="dxa"/>
              <w:right w:w="40" w:type="dxa"/>
            </w:tcMar>
            <w:hideMark/>
          </w:tcPr>
          <w:p w14:paraId="527418F7"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Dose prioritization – these orders are given a priority position</w:t>
            </w:r>
          </w:p>
        </w:tc>
      </w:tr>
      <w:tr w:rsidR="008F391D" w14:paraId="5419903C" w14:textId="77777777" w:rsidTr="008F391D">
        <w:tc>
          <w:tcPr>
            <w:tcW w:w="150" w:type="dxa"/>
            <w:tcMar>
              <w:top w:w="40" w:type="dxa"/>
              <w:left w:w="40" w:type="dxa"/>
              <w:bottom w:w="40" w:type="dxa"/>
              <w:right w:w="40" w:type="dxa"/>
            </w:tcMar>
            <w:hideMark/>
          </w:tcPr>
          <w:p w14:paraId="3DB92D0B"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tcMar>
              <w:top w:w="40" w:type="dxa"/>
              <w:left w:w="40" w:type="dxa"/>
              <w:bottom w:w="40" w:type="dxa"/>
              <w:right w:w="40" w:type="dxa"/>
            </w:tcMar>
            <w:hideMark/>
          </w:tcPr>
          <w:p w14:paraId="0401CCC7"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Price Predictability – a maximum net price increase of 4% over the term of three flu seasons 2024-27 for Flu Groups achieving the requisite aggregate market share performance level (≥ 80%) in year 1 (2024/25) and year 2 (2025/26) of the FGP.</w:t>
            </w:r>
          </w:p>
        </w:tc>
      </w:tr>
      <w:tr w:rsidR="008F391D" w14:paraId="05CD0C21" w14:textId="77777777" w:rsidTr="008F391D">
        <w:tc>
          <w:tcPr>
            <w:tcW w:w="150" w:type="dxa"/>
            <w:tcMar>
              <w:top w:w="40" w:type="dxa"/>
              <w:left w:w="40" w:type="dxa"/>
              <w:bottom w:w="40" w:type="dxa"/>
              <w:right w:w="40" w:type="dxa"/>
            </w:tcMar>
            <w:hideMark/>
          </w:tcPr>
          <w:p w14:paraId="73BF327F"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tcMar>
              <w:top w:w="40" w:type="dxa"/>
              <w:left w:w="40" w:type="dxa"/>
              <w:bottom w:w="40" w:type="dxa"/>
              <w:right w:w="40" w:type="dxa"/>
            </w:tcMar>
            <w:hideMark/>
          </w:tcPr>
          <w:p w14:paraId="09013723"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Greater discounts</w:t>
            </w:r>
          </w:p>
          <w:tbl>
            <w:tblPr>
              <w:tblW w:w="5000" w:type="pct"/>
              <w:tblCellMar>
                <w:top w:w="40" w:type="dxa"/>
                <w:left w:w="40" w:type="dxa"/>
                <w:bottom w:w="40" w:type="dxa"/>
                <w:right w:w="40" w:type="dxa"/>
              </w:tblCellMar>
              <w:tblLook w:val="04A0" w:firstRow="1" w:lastRow="0" w:firstColumn="1" w:lastColumn="0" w:noHBand="0" w:noVBand="1"/>
            </w:tblPr>
            <w:tblGrid>
              <w:gridCol w:w="197"/>
              <w:gridCol w:w="9915"/>
            </w:tblGrid>
            <w:tr w:rsidR="008F391D" w14:paraId="4596A62B" w14:textId="77777777">
              <w:tc>
                <w:tcPr>
                  <w:tcW w:w="150" w:type="dxa"/>
                  <w:hideMark/>
                </w:tcPr>
                <w:p w14:paraId="0EACFD14"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w:t>
                  </w:r>
                </w:p>
              </w:tc>
              <w:tc>
                <w:tcPr>
                  <w:tcW w:w="0" w:type="auto"/>
                  <w:hideMark/>
                </w:tcPr>
                <w:p w14:paraId="1D75A70F"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FGP – deeper discount than Vizient base price</w:t>
                  </w:r>
                </w:p>
              </w:tc>
            </w:tr>
            <w:tr w:rsidR="008F391D" w14:paraId="0EA0EF89" w14:textId="77777777">
              <w:tc>
                <w:tcPr>
                  <w:tcW w:w="150" w:type="dxa"/>
                  <w:hideMark/>
                </w:tcPr>
                <w:p w14:paraId="3F71908B"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w:t>
                  </w:r>
                </w:p>
              </w:tc>
              <w:tc>
                <w:tcPr>
                  <w:tcW w:w="0" w:type="auto"/>
                  <w:hideMark/>
                </w:tcPr>
                <w:p w14:paraId="02C304EF"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Enhanced FGP – 4% off FGP contract price (available to established Flu Groups that achieved 80% or greater market share during the previous flu season)</w:t>
                  </w:r>
                </w:p>
              </w:tc>
            </w:tr>
          </w:tbl>
          <w:p w14:paraId="4F1222C7" w14:textId="77777777" w:rsidR="008F391D" w:rsidRDefault="008F391D">
            <w:pPr>
              <w:rPr>
                <w:rFonts w:ascii="Times New Roman" w:eastAsia="Times New Roman" w:hAnsi="Times New Roman" w:cs="Times New Roman"/>
                <w:sz w:val="20"/>
                <w:szCs w:val="20"/>
              </w:rPr>
            </w:pPr>
          </w:p>
        </w:tc>
      </w:tr>
    </w:tbl>
    <w:p w14:paraId="26570DAE"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For the 2024/25 influenza season, GSK will offer two committed options.</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Emphasis"/>
          <w:rFonts w:ascii="Arial" w:eastAsia="Times New Roman" w:hAnsi="Arial" w:cs="Arial"/>
          <w:color w:val="221F20"/>
          <w:sz w:val="21"/>
          <w:szCs w:val="21"/>
        </w:rPr>
        <w:t>(Please contact your local GSK representative to discuss eligibility, and to obtain and complete the required FGP participation form.)</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656"/>
        <w:gridCol w:w="3757"/>
        <w:gridCol w:w="1206"/>
        <w:gridCol w:w="2100"/>
        <w:gridCol w:w="2631"/>
      </w:tblGrid>
      <w:tr w:rsidR="008F391D" w14:paraId="1091F5CA" w14:textId="77777777" w:rsidTr="008F391D">
        <w:tc>
          <w:tcPr>
            <w:tcW w:w="0" w:type="auto"/>
            <w:tcBorders>
              <w:top w:val="nil"/>
              <w:left w:val="nil"/>
              <w:bottom w:val="single" w:sz="18" w:space="0" w:color="FF4E00"/>
              <w:right w:val="nil"/>
            </w:tcBorders>
            <w:shd w:val="clear" w:color="auto" w:fill="FFFFFF"/>
            <w:vAlign w:val="bottom"/>
            <w:hideMark/>
          </w:tcPr>
          <w:p w14:paraId="74B48ED2"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NDC</w:t>
            </w:r>
          </w:p>
        </w:tc>
        <w:tc>
          <w:tcPr>
            <w:tcW w:w="0" w:type="auto"/>
            <w:tcBorders>
              <w:top w:val="nil"/>
              <w:left w:val="nil"/>
              <w:bottom w:val="single" w:sz="18" w:space="0" w:color="FF4E00"/>
              <w:right w:val="nil"/>
            </w:tcBorders>
            <w:shd w:val="clear" w:color="auto" w:fill="FFFFFF"/>
            <w:vAlign w:val="bottom"/>
            <w:hideMark/>
          </w:tcPr>
          <w:p w14:paraId="4DD7FA7C"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Description</w:t>
            </w:r>
          </w:p>
        </w:tc>
        <w:tc>
          <w:tcPr>
            <w:tcW w:w="0" w:type="auto"/>
            <w:tcBorders>
              <w:top w:val="nil"/>
              <w:left w:val="nil"/>
              <w:bottom w:val="single" w:sz="18" w:space="0" w:color="FF4E00"/>
              <w:right w:val="nil"/>
            </w:tcBorders>
            <w:shd w:val="clear" w:color="auto" w:fill="FFFFFF"/>
            <w:vAlign w:val="bottom"/>
            <w:hideMark/>
          </w:tcPr>
          <w:p w14:paraId="71B14BF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Age</w:t>
            </w:r>
          </w:p>
        </w:tc>
        <w:tc>
          <w:tcPr>
            <w:tcW w:w="0" w:type="auto"/>
            <w:tcBorders>
              <w:top w:val="nil"/>
              <w:left w:val="nil"/>
              <w:bottom w:val="single" w:sz="18" w:space="0" w:color="FF4E00"/>
              <w:right w:val="nil"/>
            </w:tcBorders>
            <w:shd w:val="clear" w:color="auto" w:fill="FFFFFF"/>
            <w:vAlign w:val="bottom"/>
            <w:hideMark/>
          </w:tcPr>
          <w:p w14:paraId="39BC82FF"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FGP contract price effective Jan. 15</w:t>
            </w:r>
          </w:p>
        </w:tc>
        <w:tc>
          <w:tcPr>
            <w:tcW w:w="0" w:type="auto"/>
            <w:tcBorders>
              <w:top w:val="nil"/>
              <w:left w:val="nil"/>
              <w:bottom w:val="single" w:sz="18" w:space="0" w:color="FF4E00"/>
              <w:right w:val="nil"/>
            </w:tcBorders>
            <w:shd w:val="clear" w:color="auto" w:fill="FFFFFF"/>
            <w:vAlign w:val="bottom"/>
            <w:hideMark/>
          </w:tcPr>
          <w:p w14:paraId="0FFA4E13"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Enhanced FGP contract price effective Jan. 15</w:t>
            </w:r>
          </w:p>
        </w:tc>
      </w:tr>
      <w:tr w:rsidR="008F391D" w14:paraId="40645BB9" w14:textId="77777777" w:rsidTr="008F391D">
        <w:tc>
          <w:tcPr>
            <w:tcW w:w="0" w:type="auto"/>
            <w:tcBorders>
              <w:top w:val="nil"/>
              <w:left w:val="nil"/>
              <w:bottom w:val="single" w:sz="6" w:space="0" w:color="999999"/>
              <w:right w:val="nil"/>
            </w:tcBorders>
            <w:shd w:val="clear" w:color="auto" w:fill="FFFFFF"/>
            <w:hideMark/>
          </w:tcPr>
          <w:p w14:paraId="4A8EF36A"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691D09B7"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Fluarix (2024/25 influenza vaccine formula) 10 x 0.5 mL Tip-Lok no needle syringes</w:t>
            </w:r>
          </w:p>
        </w:tc>
        <w:tc>
          <w:tcPr>
            <w:tcW w:w="0" w:type="auto"/>
            <w:tcBorders>
              <w:top w:val="nil"/>
              <w:left w:val="nil"/>
              <w:bottom w:val="single" w:sz="6" w:space="0" w:color="999999"/>
              <w:right w:val="nil"/>
            </w:tcBorders>
            <w:shd w:val="clear" w:color="auto" w:fill="FFFFFF"/>
            <w:hideMark/>
          </w:tcPr>
          <w:p w14:paraId="1A0A9404"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 months and older</w:t>
            </w:r>
          </w:p>
        </w:tc>
        <w:tc>
          <w:tcPr>
            <w:tcW w:w="0" w:type="auto"/>
            <w:tcBorders>
              <w:top w:val="nil"/>
              <w:left w:val="nil"/>
              <w:bottom w:val="single" w:sz="6" w:space="0" w:color="999999"/>
              <w:right w:val="nil"/>
            </w:tcBorders>
            <w:shd w:val="clear" w:color="auto" w:fill="FFFFFF"/>
            <w:hideMark/>
          </w:tcPr>
          <w:p w14:paraId="22DD0B76"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$149.00</w:t>
            </w:r>
          </w:p>
        </w:tc>
        <w:tc>
          <w:tcPr>
            <w:tcW w:w="0" w:type="auto"/>
            <w:tcBorders>
              <w:top w:val="nil"/>
              <w:left w:val="nil"/>
              <w:bottom w:val="single" w:sz="6" w:space="0" w:color="999999"/>
              <w:right w:val="nil"/>
            </w:tcBorders>
            <w:shd w:val="clear" w:color="auto" w:fill="FFFFFF"/>
            <w:hideMark/>
          </w:tcPr>
          <w:p w14:paraId="150D7594"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$143.00</w:t>
            </w:r>
          </w:p>
        </w:tc>
      </w:tr>
      <w:tr w:rsidR="008F391D" w14:paraId="239BB2DD" w14:textId="77777777" w:rsidTr="008F391D">
        <w:tc>
          <w:tcPr>
            <w:tcW w:w="0" w:type="auto"/>
            <w:tcBorders>
              <w:top w:val="nil"/>
              <w:left w:val="nil"/>
              <w:bottom w:val="single" w:sz="6" w:space="0" w:color="999999"/>
              <w:right w:val="nil"/>
            </w:tcBorders>
            <w:shd w:val="clear" w:color="auto" w:fill="FFFFFF"/>
            <w:hideMark/>
          </w:tcPr>
          <w:p w14:paraId="651FA172"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09817912"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FluLaval (2024/25 influenza vaccine formula) 10 x 0.5 mL Tip-Lok no needle syringes</w:t>
            </w:r>
          </w:p>
        </w:tc>
        <w:tc>
          <w:tcPr>
            <w:tcW w:w="0" w:type="auto"/>
            <w:tcBorders>
              <w:top w:val="nil"/>
              <w:left w:val="nil"/>
              <w:bottom w:val="single" w:sz="6" w:space="0" w:color="999999"/>
              <w:right w:val="nil"/>
            </w:tcBorders>
            <w:shd w:val="clear" w:color="auto" w:fill="FFFFFF"/>
            <w:hideMark/>
          </w:tcPr>
          <w:p w14:paraId="470E552C"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 months and older</w:t>
            </w:r>
          </w:p>
        </w:tc>
        <w:tc>
          <w:tcPr>
            <w:tcW w:w="0" w:type="auto"/>
            <w:tcBorders>
              <w:top w:val="nil"/>
              <w:left w:val="nil"/>
              <w:bottom w:val="single" w:sz="6" w:space="0" w:color="999999"/>
              <w:right w:val="nil"/>
            </w:tcBorders>
            <w:shd w:val="clear" w:color="auto" w:fill="FFFFFF"/>
            <w:hideMark/>
          </w:tcPr>
          <w:p w14:paraId="0BE64437"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$149.00</w:t>
            </w:r>
          </w:p>
        </w:tc>
        <w:tc>
          <w:tcPr>
            <w:tcW w:w="0" w:type="auto"/>
            <w:tcBorders>
              <w:top w:val="nil"/>
              <w:left w:val="nil"/>
              <w:bottom w:val="single" w:sz="6" w:space="0" w:color="999999"/>
              <w:right w:val="nil"/>
            </w:tcBorders>
            <w:shd w:val="clear" w:color="auto" w:fill="FFFFFF"/>
            <w:hideMark/>
          </w:tcPr>
          <w:p w14:paraId="1BD3B38C"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$143.00</w:t>
            </w:r>
          </w:p>
        </w:tc>
      </w:tr>
    </w:tbl>
    <w:p w14:paraId="27299A2F" w14:textId="77777777" w:rsidR="008F391D" w:rsidRDefault="008F391D" w:rsidP="008F391D">
      <w:pPr>
        <w:spacing w:before="15" w:after="240" w:line="315" w:lineRule="exact"/>
        <w:rPr>
          <w:rFonts w:ascii="Arial" w:eastAsia="Times New Roman" w:hAnsi="Arial" w:cs="Arial"/>
          <w:color w:val="221F20"/>
          <w:sz w:val="21"/>
          <w:szCs w:val="21"/>
        </w:rPr>
      </w:pPr>
      <w:r>
        <w:rPr>
          <w:rFonts w:ascii="Arial" w:eastAsia="Times New Roman" w:hAnsi="Arial" w:cs="Arial"/>
          <w:color w:val="221F20"/>
          <w:sz w:val="21"/>
          <w:szCs w:val="21"/>
        </w:rPr>
        <w:br/>
        <w:t>Price for Fluarix/FluLaval does not include the FET of 75 cents per antigen, per dose.</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FGP Delivery Guarantee:</w:t>
      </w:r>
      <w:r>
        <w:rPr>
          <w:rFonts w:ascii="Arial" w:eastAsia="Times New Roman" w:hAnsi="Arial" w:cs="Arial"/>
          <w:color w:val="221F20"/>
          <w:sz w:val="21"/>
          <w:szCs w:val="21"/>
        </w:rPr>
        <w:t xml:space="preserve"> For members who are a part of an Influenza Vaccine Group Program (FGP), GSK will provide an additional 10% discount on GSK influenza vaccine doses which were pre-booked on or prior to March 31, 2024, and are shipped and invoiced after Sept. 27, 2024. (This discount is only applicable to doses that are late due to GSK's inability to ship and invoice prior to Sept. 27 and will not apply if member facility chooses to delay shipment past Sept. 27. This delivery guarantee is only available on doses prebooked and purchased directly from GSK via </w:t>
      </w:r>
      <w:hyperlink r:id="rId13" w:history="1">
        <w:r>
          <w:rPr>
            <w:rStyle w:val="Hyperlink"/>
            <w:rFonts w:ascii="Arial" w:eastAsia="Times New Roman" w:hAnsi="Arial" w:cs="Arial"/>
            <w:sz w:val="21"/>
            <w:szCs w:val="21"/>
          </w:rPr>
          <w:t>gskdirect.com</w:t>
        </w:r>
      </w:hyperlink>
      <w:r>
        <w:rPr>
          <w:rFonts w:ascii="Arial" w:eastAsia="Times New Roman" w:hAnsi="Arial" w:cs="Arial"/>
          <w:color w:val="221F20"/>
          <w:sz w:val="21"/>
          <w:szCs w:val="21"/>
        </w:rPr>
        <w:t>.</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Emphasis"/>
          <w:rFonts w:ascii="Arial" w:eastAsia="Times New Roman" w:hAnsi="Arial" w:cs="Arial"/>
          <w:color w:val="221F20"/>
          <w:sz w:val="21"/>
          <w:szCs w:val="21"/>
        </w:rPr>
        <w:t xml:space="preserve">GSK makes Fluarix and </w:t>
      </w:r>
      <w:proofErr w:type="spellStart"/>
      <w:r>
        <w:rPr>
          <w:rStyle w:val="Emphasis"/>
          <w:rFonts w:ascii="Arial" w:eastAsia="Times New Roman" w:hAnsi="Arial" w:cs="Arial"/>
          <w:color w:val="221F20"/>
          <w:sz w:val="21"/>
          <w:szCs w:val="21"/>
        </w:rPr>
        <w:t>Flulaval</w:t>
      </w:r>
      <w:proofErr w:type="spellEnd"/>
      <w:r>
        <w:rPr>
          <w:rStyle w:val="Emphasis"/>
          <w:rFonts w:ascii="Arial" w:eastAsia="Times New Roman" w:hAnsi="Arial" w:cs="Arial"/>
          <w:color w:val="221F20"/>
          <w:sz w:val="21"/>
          <w:szCs w:val="21"/>
        </w:rPr>
        <w:t xml:space="preserve"> available through most Vizient Authorized Distributors. Pricing, shipping terms, returned product terms, etc. will be set by the distributor.</w:t>
      </w:r>
      <w:r>
        <w:rPr>
          <w:rFonts w:ascii="Arial" w:eastAsia="Times New Roman" w:hAnsi="Arial" w:cs="Arial"/>
          <w:color w:val="221F20"/>
          <w:sz w:val="21"/>
          <w:szCs w:val="21"/>
        </w:rPr>
        <w:br/>
      </w:r>
      <w:r>
        <w:rPr>
          <w:rFonts w:ascii="Arial" w:eastAsia="Times New Roman" w:hAnsi="Arial" w:cs="Arial"/>
          <w:color w:val="221F20"/>
          <w:sz w:val="21"/>
          <w:szCs w:val="21"/>
        </w:rPr>
        <w:br/>
        <w:t xml:space="preserve">For more information, contact </w:t>
      </w:r>
      <w:hyperlink r:id="rId14" w:history="1">
        <w:r>
          <w:rPr>
            <w:rStyle w:val="Hyperlink"/>
            <w:rFonts w:ascii="Arial" w:eastAsia="Times New Roman" w:hAnsi="Arial" w:cs="Arial"/>
            <w:sz w:val="21"/>
            <w:szCs w:val="21"/>
          </w:rPr>
          <w:t>Jacob Salmon</w:t>
        </w:r>
      </w:hyperlink>
      <w:r>
        <w:rPr>
          <w:rFonts w:ascii="Arial" w:eastAsia="Times New Roman" w:hAnsi="Arial" w:cs="Arial"/>
          <w:color w:val="221F20"/>
          <w:sz w:val="21"/>
          <w:szCs w:val="21"/>
        </w:rPr>
        <w:t xml:space="preserve">, Vizient portfolio executive, at (214) 574-3330; or </w:t>
      </w:r>
      <w:hyperlink r:id="rId15" w:history="1">
        <w:r>
          <w:rPr>
            <w:rStyle w:val="Hyperlink"/>
            <w:rFonts w:ascii="Arial" w:eastAsia="Times New Roman" w:hAnsi="Arial" w:cs="Arial"/>
            <w:sz w:val="21"/>
            <w:szCs w:val="21"/>
          </w:rPr>
          <w:t>Mike King</w:t>
        </w:r>
      </w:hyperlink>
      <w:r>
        <w:rPr>
          <w:rFonts w:ascii="Arial" w:eastAsia="Times New Roman" w:hAnsi="Arial" w:cs="Arial"/>
          <w:color w:val="221F20"/>
          <w:sz w:val="21"/>
          <w:szCs w:val="21"/>
        </w:rPr>
        <w:t>, GSK director national accounts, at (803) 361-9514.</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Emphasis"/>
          <w:rFonts w:ascii="Arial" w:eastAsia="Times New Roman" w:hAnsi="Arial" w:cs="Arial"/>
          <w:color w:val="221F20"/>
          <w:sz w:val="21"/>
          <w:szCs w:val="21"/>
        </w:rPr>
        <w:lastRenderedPageBreak/>
        <w:t>Classes of Trade: Acute Care, Ambulatory Care, Long-Term-Care, Home Health Care, Physician Offices/Clinics, Staff Model HMO</w:t>
      </w:r>
    </w:p>
    <w:tbl>
      <w:tblPr>
        <w:tblW w:w="0" w:type="auto"/>
        <w:tblCellMar>
          <w:left w:w="0" w:type="dxa"/>
          <w:right w:w="0" w:type="dxa"/>
        </w:tblCellMar>
        <w:tblLook w:val="04A0" w:firstRow="1" w:lastRow="0" w:firstColumn="1" w:lastColumn="0" w:noHBand="0" w:noVBand="1"/>
      </w:tblPr>
      <w:tblGrid>
        <w:gridCol w:w="901"/>
        <w:gridCol w:w="300"/>
      </w:tblGrid>
      <w:tr w:rsidR="008F391D" w14:paraId="636D30BB" w14:textId="77777777" w:rsidTr="008F391D">
        <w:trPr>
          <w:trHeight w:val="210"/>
        </w:trPr>
        <w:tc>
          <w:tcPr>
            <w:tcW w:w="0" w:type="auto"/>
            <w:shd w:val="clear" w:color="auto" w:fill="FFFFFF"/>
            <w:hideMark/>
          </w:tcPr>
          <w:p w14:paraId="020CC502" w14:textId="77777777" w:rsidR="008F391D" w:rsidRDefault="008F391D">
            <w:pPr>
              <w:spacing w:before="15" w:line="315" w:lineRule="exact"/>
              <w:rPr>
                <w:rFonts w:ascii="Arial" w:eastAsia="Times New Roman" w:hAnsi="Arial" w:cs="Arial"/>
                <w:color w:val="FF4E00"/>
                <w:sz w:val="18"/>
                <w:szCs w:val="18"/>
              </w:rPr>
            </w:pPr>
            <w:hyperlink w:anchor="emailtop" w:history="1">
              <w:r>
                <w:rPr>
                  <w:rStyle w:val="Hyperlink"/>
                  <w:rFonts w:ascii="Arial" w:eastAsia="Times New Roman" w:hAnsi="Arial" w:cs="Arial"/>
                  <w:sz w:val="18"/>
                  <w:szCs w:val="18"/>
                </w:rPr>
                <w:t>Back to top</w:t>
              </w:r>
            </w:hyperlink>
          </w:p>
        </w:tc>
        <w:tc>
          <w:tcPr>
            <w:tcW w:w="300" w:type="dxa"/>
            <w:shd w:val="clear" w:color="auto" w:fill="FFFFFF"/>
            <w:vAlign w:val="center"/>
            <w:hideMark/>
          </w:tcPr>
          <w:p w14:paraId="3EEE9F97" w14:textId="742FC80E" w:rsidR="008F391D" w:rsidRDefault="008F391D">
            <w:pPr>
              <w:spacing w:before="15" w:line="315" w:lineRule="exact"/>
              <w:jc w:val="right"/>
              <w:rPr>
                <w:rFonts w:ascii="Arial" w:eastAsia="Times New Roman" w:hAnsi="Arial" w:cs="Arial"/>
                <w:color w:val="FF4E00"/>
                <w:sz w:val="18"/>
                <w:szCs w:val="18"/>
              </w:rPr>
            </w:pPr>
            <w:r>
              <w:rPr>
                <w:rFonts w:ascii="Arial" w:eastAsia="Times New Roman" w:hAnsi="Arial" w:cs="Arial"/>
                <w:noProof/>
                <w:color w:val="FF4E00"/>
                <w:sz w:val="18"/>
                <w:szCs w:val="18"/>
              </w:rPr>
              <w:drawing>
                <wp:inline distT="0" distB="0" distL="0" distR="0" wp14:anchorId="5B30989D" wp14:editId="66E18171">
                  <wp:extent cx="101600" cy="95250"/>
                  <wp:effectExtent l="0" t="0" r="0" b="0"/>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95250"/>
                          </a:xfrm>
                          <a:prstGeom prst="rect">
                            <a:avLst/>
                          </a:prstGeom>
                          <a:noFill/>
                          <a:ln>
                            <a:noFill/>
                          </a:ln>
                        </pic:spPr>
                      </pic:pic>
                    </a:graphicData>
                  </a:graphic>
                </wp:inline>
              </w:drawing>
            </w:r>
          </w:p>
        </w:tc>
      </w:tr>
    </w:tbl>
    <w:p w14:paraId="6EF374B6" w14:textId="77777777" w:rsidR="008F391D" w:rsidRDefault="008F391D" w:rsidP="008F391D">
      <w:pPr>
        <w:spacing w:before="15" w:line="315" w:lineRule="exact"/>
        <w:rPr>
          <w:rFonts w:ascii="Arial" w:eastAsia="Times New Roman" w:hAnsi="Arial" w:cs="Arial"/>
          <w:color w:val="221F20"/>
          <w:sz w:val="21"/>
          <w:szCs w:val="21"/>
        </w:rPr>
      </w:pPr>
      <w:bookmarkStart w:id="1" w:name="Influenzavaccines2"/>
      <w:bookmarkEnd w:id="1"/>
      <w:r>
        <w:rPr>
          <w:rFonts w:ascii="Arial" w:eastAsia="Times New Roman" w:hAnsi="Arial" w:cs="Arial"/>
          <w:color w:val="221F20"/>
          <w:sz w:val="21"/>
          <w:szCs w:val="21"/>
        </w:rPr>
        <w:br/>
      </w:r>
      <w:r>
        <w:rPr>
          <w:rStyle w:val="Strong"/>
          <w:rFonts w:ascii="Arial" w:eastAsia="Times New Roman" w:hAnsi="Arial" w:cs="Arial"/>
          <w:color w:val="221F20"/>
          <w:sz w:val="21"/>
          <w:szCs w:val="21"/>
        </w:rPr>
        <w:t>Product addition: Sanofi Pasteur influenza vaccine 2024/2025 season formula (RX80240)</w:t>
      </w:r>
      <w:r>
        <w:rPr>
          <w:rFonts w:ascii="Arial" w:eastAsia="Times New Roman" w:hAnsi="Arial" w:cs="Arial"/>
          <w:color w:val="221F20"/>
          <w:sz w:val="21"/>
          <w:szCs w:val="21"/>
        </w:rPr>
        <w:br/>
        <w:t>Sanofi Pasteur will offer the following influenza vaccine products and purchase options through Vizient for the 2024/25 influenza season for doses ordered direct from Sanofi Pasteur by April 19, 2024. Sanofi Pasteur influenza vaccines ordered from a Vizient Authorized Distributor are subject to pricing and terms as determined by the respective distributor. On a direct basis, Sanofi Pasteur offers an access tier option and committed health system options. Please contact your local Sanofi Pasteur representative to discuss health system eligibility.</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Base tier:</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5330"/>
        <w:gridCol w:w="723"/>
        <w:gridCol w:w="1922"/>
        <w:gridCol w:w="1656"/>
        <w:gridCol w:w="719"/>
      </w:tblGrid>
      <w:tr w:rsidR="008F391D" w14:paraId="79DE75F7" w14:textId="77777777" w:rsidTr="008F391D">
        <w:tc>
          <w:tcPr>
            <w:tcW w:w="4830" w:type="dxa"/>
            <w:tcBorders>
              <w:top w:val="nil"/>
              <w:left w:val="nil"/>
              <w:bottom w:val="single" w:sz="18" w:space="0" w:color="FF4E00"/>
              <w:right w:val="nil"/>
            </w:tcBorders>
            <w:shd w:val="clear" w:color="auto" w:fill="FFFFFF"/>
            <w:vAlign w:val="bottom"/>
            <w:hideMark/>
          </w:tcPr>
          <w:p w14:paraId="0CD150D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Description</w:t>
            </w:r>
          </w:p>
        </w:tc>
        <w:tc>
          <w:tcPr>
            <w:tcW w:w="435" w:type="dxa"/>
            <w:tcBorders>
              <w:top w:val="nil"/>
              <w:left w:val="nil"/>
              <w:bottom w:val="single" w:sz="18" w:space="0" w:color="FF4E00"/>
              <w:right w:val="nil"/>
            </w:tcBorders>
            <w:shd w:val="clear" w:color="auto" w:fill="FFFFFF"/>
            <w:vAlign w:val="bottom"/>
            <w:hideMark/>
          </w:tcPr>
          <w:p w14:paraId="55174981"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NDC</w:t>
            </w:r>
          </w:p>
        </w:tc>
        <w:tc>
          <w:tcPr>
            <w:tcW w:w="1605" w:type="dxa"/>
            <w:tcBorders>
              <w:top w:val="nil"/>
              <w:left w:val="nil"/>
              <w:bottom w:val="single" w:sz="18" w:space="0" w:color="FF4E00"/>
              <w:right w:val="nil"/>
            </w:tcBorders>
            <w:shd w:val="clear" w:color="auto" w:fill="FFFFFF"/>
            <w:vAlign w:val="bottom"/>
            <w:hideMark/>
          </w:tcPr>
          <w:p w14:paraId="796BCE4C"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Age</w:t>
            </w:r>
          </w:p>
        </w:tc>
        <w:tc>
          <w:tcPr>
            <w:tcW w:w="1500" w:type="dxa"/>
            <w:tcBorders>
              <w:top w:val="nil"/>
              <w:left w:val="nil"/>
              <w:bottom w:val="single" w:sz="18" w:space="0" w:color="FF4E00"/>
              <w:right w:val="nil"/>
            </w:tcBorders>
            <w:shd w:val="clear" w:color="auto" w:fill="FFFFFF"/>
            <w:vAlign w:val="bottom"/>
            <w:hideMark/>
          </w:tcPr>
          <w:p w14:paraId="37D64427"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Base contract price</w:t>
            </w:r>
          </w:p>
        </w:tc>
        <w:tc>
          <w:tcPr>
            <w:tcW w:w="480" w:type="dxa"/>
            <w:tcBorders>
              <w:top w:val="nil"/>
              <w:left w:val="nil"/>
              <w:bottom w:val="single" w:sz="18" w:space="0" w:color="FF4E00"/>
              <w:right w:val="nil"/>
            </w:tcBorders>
            <w:shd w:val="clear" w:color="auto" w:fill="FFFFFF"/>
            <w:vAlign w:val="bottom"/>
            <w:hideMark/>
          </w:tcPr>
          <w:p w14:paraId="32016077"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FET</w:t>
            </w:r>
          </w:p>
        </w:tc>
      </w:tr>
      <w:tr w:rsidR="008F391D" w14:paraId="09A104A2" w14:textId="77777777" w:rsidTr="008F391D">
        <w:tc>
          <w:tcPr>
            <w:tcW w:w="0" w:type="auto"/>
            <w:tcBorders>
              <w:top w:val="nil"/>
              <w:left w:val="nil"/>
              <w:bottom w:val="single" w:sz="6" w:space="0" w:color="999999"/>
              <w:right w:val="nil"/>
            </w:tcBorders>
            <w:shd w:val="clear" w:color="auto" w:fill="FFFFFF"/>
            <w:hideMark/>
          </w:tcPr>
          <w:p w14:paraId="66608288"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vaccine 5 mL multidose vial (10 doses)</w:t>
            </w:r>
          </w:p>
        </w:tc>
        <w:tc>
          <w:tcPr>
            <w:tcW w:w="0" w:type="auto"/>
            <w:tcBorders>
              <w:top w:val="nil"/>
              <w:left w:val="nil"/>
              <w:bottom w:val="single" w:sz="6" w:space="0" w:color="999999"/>
              <w:right w:val="nil"/>
            </w:tcBorders>
            <w:shd w:val="clear" w:color="auto" w:fill="FFFFFF"/>
            <w:noWrap/>
            <w:hideMark/>
          </w:tcPr>
          <w:p w14:paraId="1F7C9AB6"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noWrap/>
            <w:hideMark/>
          </w:tcPr>
          <w:p w14:paraId="0A4802E6"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 months and older</w:t>
            </w:r>
          </w:p>
        </w:tc>
        <w:tc>
          <w:tcPr>
            <w:tcW w:w="0" w:type="auto"/>
            <w:tcBorders>
              <w:top w:val="nil"/>
              <w:left w:val="nil"/>
              <w:bottom w:val="single" w:sz="6" w:space="0" w:color="999999"/>
              <w:right w:val="nil"/>
            </w:tcBorders>
            <w:shd w:val="clear" w:color="auto" w:fill="FFFFFF"/>
            <w:hideMark/>
          </w:tcPr>
          <w:p w14:paraId="07A3EFAD"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$179.50</w:t>
            </w:r>
          </w:p>
        </w:tc>
        <w:tc>
          <w:tcPr>
            <w:tcW w:w="0" w:type="auto"/>
            <w:tcBorders>
              <w:top w:val="nil"/>
              <w:left w:val="nil"/>
              <w:bottom w:val="single" w:sz="6" w:space="0" w:color="999999"/>
              <w:right w:val="nil"/>
            </w:tcBorders>
            <w:shd w:val="clear" w:color="auto" w:fill="FFFFFF"/>
            <w:hideMark/>
          </w:tcPr>
          <w:p w14:paraId="372E6337"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$7.50</w:t>
            </w:r>
          </w:p>
        </w:tc>
      </w:tr>
      <w:tr w:rsidR="008F391D" w14:paraId="08C14F06" w14:textId="77777777" w:rsidTr="008F391D">
        <w:tc>
          <w:tcPr>
            <w:tcW w:w="0" w:type="auto"/>
            <w:tcBorders>
              <w:top w:val="nil"/>
              <w:left w:val="nil"/>
              <w:bottom w:val="single" w:sz="6" w:space="0" w:color="999999"/>
              <w:right w:val="nil"/>
            </w:tcBorders>
            <w:shd w:val="clear" w:color="auto" w:fill="FFFFFF"/>
            <w:hideMark/>
          </w:tcPr>
          <w:p w14:paraId="013B718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vaccine 10 x 0.5 mL prefilled syringe</w:t>
            </w:r>
          </w:p>
        </w:tc>
        <w:tc>
          <w:tcPr>
            <w:tcW w:w="0" w:type="auto"/>
            <w:tcBorders>
              <w:top w:val="nil"/>
              <w:left w:val="nil"/>
              <w:bottom w:val="single" w:sz="6" w:space="0" w:color="999999"/>
              <w:right w:val="nil"/>
            </w:tcBorders>
            <w:shd w:val="clear" w:color="auto" w:fill="FFFFFF"/>
            <w:noWrap/>
            <w:hideMark/>
          </w:tcPr>
          <w:p w14:paraId="607FF8A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2871FA2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 months and older</w:t>
            </w:r>
          </w:p>
        </w:tc>
        <w:tc>
          <w:tcPr>
            <w:tcW w:w="0" w:type="auto"/>
            <w:tcBorders>
              <w:top w:val="nil"/>
              <w:left w:val="nil"/>
              <w:bottom w:val="single" w:sz="6" w:space="0" w:color="999999"/>
              <w:right w:val="nil"/>
            </w:tcBorders>
            <w:shd w:val="clear" w:color="auto" w:fill="FFFFFF"/>
            <w:hideMark/>
          </w:tcPr>
          <w:p w14:paraId="3795876D"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$193.82</w:t>
            </w:r>
          </w:p>
        </w:tc>
        <w:tc>
          <w:tcPr>
            <w:tcW w:w="0" w:type="auto"/>
            <w:tcBorders>
              <w:top w:val="nil"/>
              <w:left w:val="nil"/>
              <w:bottom w:val="single" w:sz="6" w:space="0" w:color="999999"/>
              <w:right w:val="nil"/>
            </w:tcBorders>
            <w:shd w:val="clear" w:color="auto" w:fill="FFFFFF"/>
            <w:hideMark/>
          </w:tcPr>
          <w:p w14:paraId="7E79265A"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$7.50</w:t>
            </w:r>
          </w:p>
        </w:tc>
      </w:tr>
      <w:tr w:rsidR="008F391D" w14:paraId="3C2D1150" w14:textId="77777777" w:rsidTr="008F391D">
        <w:tc>
          <w:tcPr>
            <w:tcW w:w="0" w:type="auto"/>
            <w:tcBorders>
              <w:top w:val="nil"/>
              <w:left w:val="nil"/>
              <w:bottom w:val="single" w:sz="6" w:space="0" w:color="999999"/>
              <w:right w:val="nil"/>
            </w:tcBorders>
            <w:shd w:val="clear" w:color="auto" w:fill="FFFFFF"/>
            <w:hideMark/>
          </w:tcPr>
          <w:p w14:paraId="7B01444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High-Dose vaccine 10 x 0.7 mL prefilled syringe</w:t>
            </w:r>
          </w:p>
        </w:tc>
        <w:tc>
          <w:tcPr>
            <w:tcW w:w="0" w:type="auto"/>
            <w:tcBorders>
              <w:top w:val="nil"/>
              <w:left w:val="nil"/>
              <w:bottom w:val="single" w:sz="6" w:space="0" w:color="999999"/>
              <w:right w:val="nil"/>
            </w:tcBorders>
            <w:shd w:val="clear" w:color="auto" w:fill="FFFFFF"/>
            <w:noWrap/>
            <w:hideMark/>
          </w:tcPr>
          <w:p w14:paraId="7AA4A92F"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19FB712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65 years and older</w:t>
            </w:r>
          </w:p>
        </w:tc>
        <w:tc>
          <w:tcPr>
            <w:tcW w:w="0" w:type="auto"/>
            <w:tcBorders>
              <w:top w:val="nil"/>
              <w:left w:val="nil"/>
              <w:bottom w:val="single" w:sz="6" w:space="0" w:color="999999"/>
              <w:right w:val="nil"/>
            </w:tcBorders>
            <w:shd w:val="clear" w:color="auto" w:fill="FFFFFF"/>
            <w:hideMark/>
          </w:tcPr>
          <w:p w14:paraId="5E31A3FC"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$662.54</w:t>
            </w:r>
          </w:p>
        </w:tc>
        <w:tc>
          <w:tcPr>
            <w:tcW w:w="0" w:type="auto"/>
            <w:tcBorders>
              <w:top w:val="nil"/>
              <w:left w:val="nil"/>
              <w:bottom w:val="single" w:sz="6" w:space="0" w:color="999999"/>
              <w:right w:val="nil"/>
            </w:tcBorders>
            <w:shd w:val="clear" w:color="auto" w:fill="FFFFFF"/>
            <w:hideMark/>
          </w:tcPr>
          <w:p w14:paraId="316CF62E"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$7.50</w:t>
            </w:r>
          </w:p>
        </w:tc>
      </w:tr>
      <w:tr w:rsidR="008F391D" w14:paraId="4688AAB8" w14:textId="77777777" w:rsidTr="008F391D">
        <w:tc>
          <w:tcPr>
            <w:tcW w:w="0" w:type="auto"/>
            <w:tcBorders>
              <w:top w:val="nil"/>
              <w:left w:val="nil"/>
              <w:bottom w:val="single" w:sz="6" w:space="0" w:color="999999"/>
              <w:right w:val="nil"/>
            </w:tcBorders>
            <w:shd w:val="clear" w:color="auto" w:fill="FFFFFF"/>
            <w:hideMark/>
          </w:tcPr>
          <w:p w14:paraId="27FDF24C"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*Flublok vaccine 10 x 0.5 mL prefilled syringe</w:t>
            </w:r>
          </w:p>
        </w:tc>
        <w:tc>
          <w:tcPr>
            <w:tcW w:w="0" w:type="auto"/>
            <w:tcBorders>
              <w:top w:val="nil"/>
              <w:left w:val="nil"/>
              <w:bottom w:val="single" w:sz="6" w:space="0" w:color="999999"/>
              <w:right w:val="nil"/>
            </w:tcBorders>
            <w:shd w:val="clear" w:color="auto" w:fill="FFFFFF"/>
            <w:noWrap/>
            <w:hideMark/>
          </w:tcPr>
          <w:p w14:paraId="544504FB"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76DCF3F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18 years and older</w:t>
            </w:r>
          </w:p>
        </w:tc>
        <w:tc>
          <w:tcPr>
            <w:tcW w:w="0" w:type="auto"/>
            <w:tcBorders>
              <w:top w:val="nil"/>
              <w:left w:val="nil"/>
              <w:bottom w:val="single" w:sz="6" w:space="0" w:color="999999"/>
              <w:right w:val="nil"/>
            </w:tcBorders>
            <w:shd w:val="clear" w:color="auto" w:fill="FFFFFF"/>
            <w:hideMark/>
          </w:tcPr>
          <w:p w14:paraId="15872777"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$662.54</w:t>
            </w:r>
          </w:p>
        </w:tc>
        <w:tc>
          <w:tcPr>
            <w:tcW w:w="0" w:type="auto"/>
            <w:tcBorders>
              <w:top w:val="nil"/>
              <w:left w:val="nil"/>
              <w:bottom w:val="single" w:sz="6" w:space="0" w:color="999999"/>
              <w:right w:val="nil"/>
            </w:tcBorders>
            <w:shd w:val="clear" w:color="auto" w:fill="FFFFFF"/>
            <w:hideMark/>
          </w:tcPr>
          <w:p w14:paraId="7D01BBA5"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$7.50</w:t>
            </w:r>
          </w:p>
        </w:tc>
      </w:tr>
    </w:tbl>
    <w:p w14:paraId="040A1F67"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Additional terms:</w:t>
      </w:r>
    </w:p>
    <w:tbl>
      <w:tblPr>
        <w:tblW w:w="10350" w:type="dxa"/>
        <w:tblCellMar>
          <w:top w:w="40" w:type="dxa"/>
          <w:left w:w="40" w:type="dxa"/>
          <w:bottom w:w="40" w:type="dxa"/>
          <w:right w:w="40" w:type="dxa"/>
        </w:tblCellMar>
        <w:tblLook w:val="04A0" w:firstRow="1" w:lastRow="0" w:firstColumn="1" w:lastColumn="0" w:noHBand="0" w:noVBand="1"/>
      </w:tblPr>
      <w:tblGrid>
        <w:gridCol w:w="158"/>
        <w:gridCol w:w="10192"/>
      </w:tblGrid>
      <w:tr w:rsidR="008F391D" w14:paraId="6C45F3A7" w14:textId="77777777" w:rsidTr="008F391D">
        <w:tc>
          <w:tcPr>
            <w:tcW w:w="150" w:type="dxa"/>
            <w:hideMark/>
          </w:tcPr>
          <w:p w14:paraId="13635BA2"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65BF0594"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2% direct order discount (orders direct from Sanofi Pasteur by April 19 online or by phone)</w:t>
            </w:r>
            <w:r>
              <w:rPr>
                <w:rFonts w:ascii="Arial" w:eastAsia="Times New Roman" w:hAnsi="Arial" w:cs="Arial"/>
                <w:color w:val="221F20"/>
                <w:sz w:val="21"/>
                <w:szCs w:val="21"/>
              </w:rPr>
              <w:br/>
              <w:t>*Excludes Fluzone High-Dose and Flublok</w:t>
            </w:r>
          </w:p>
        </w:tc>
      </w:tr>
      <w:tr w:rsidR="008F391D" w14:paraId="772487B2" w14:textId="77777777" w:rsidTr="008F391D">
        <w:tc>
          <w:tcPr>
            <w:tcW w:w="150" w:type="dxa"/>
            <w:hideMark/>
          </w:tcPr>
          <w:p w14:paraId="52A1354B"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0D86602E"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 xml:space="preserve">1% web discount (orders placed online at </w:t>
            </w:r>
            <w:hyperlink r:id="rId16" w:history="1">
              <w:r>
                <w:rPr>
                  <w:rStyle w:val="Hyperlink"/>
                  <w:rFonts w:ascii="Arial" w:eastAsia="Times New Roman" w:hAnsi="Arial" w:cs="Arial"/>
                  <w:sz w:val="21"/>
                  <w:szCs w:val="21"/>
                </w:rPr>
                <w:t>vaccineshoppe.com</w:t>
              </w:r>
            </w:hyperlink>
            <w:r>
              <w:rPr>
                <w:rFonts w:ascii="Arial" w:eastAsia="Times New Roman" w:hAnsi="Arial" w:cs="Arial"/>
                <w:color w:val="221F20"/>
                <w:sz w:val="21"/>
                <w:szCs w:val="21"/>
              </w:rPr>
              <w:t>)</w:t>
            </w:r>
          </w:p>
        </w:tc>
      </w:tr>
      <w:tr w:rsidR="008F391D" w14:paraId="2210CE62" w14:textId="77777777" w:rsidTr="008F391D">
        <w:tc>
          <w:tcPr>
            <w:tcW w:w="150" w:type="dxa"/>
            <w:hideMark/>
          </w:tcPr>
          <w:p w14:paraId="4F76A057"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14F1FA02"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Payment terms – 2% 90, net 91 days</w:t>
            </w:r>
          </w:p>
        </w:tc>
      </w:tr>
    </w:tbl>
    <w:p w14:paraId="79CA4D28"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Doses ordered specifically for long-term care will ship by Sept. 15, 2024, if 50% or more of the long-term care doses are Fluzone High-Dose and/or Flublok vaccine.</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Shipping commitment timeline:</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2358"/>
        <w:gridCol w:w="7992"/>
      </w:tblGrid>
      <w:tr w:rsidR="008F391D" w14:paraId="231DAF13" w14:textId="77777777" w:rsidTr="008F391D">
        <w:tc>
          <w:tcPr>
            <w:tcW w:w="0" w:type="auto"/>
            <w:tcBorders>
              <w:top w:val="nil"/>
              <w:left w:val="nil"/>
              <w:bottom w:val="single" w:sz="18" w:space="0" w:color="FF4E00"/>
              <w:right w:val="nil"/>
            </w:tcBorders>
            <w:shd w:val="clear" w:color="auto" w:fill="FFFFFF"/>
            <w:vAlign w:val="bottom"/>
            <w:hideMark/>
          </w:tcPr>
          <w:p w14:paraId="60FEE347"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Shipping commitment</w:t>
            </w:r>
          </w:p>
        </w:tc>
        <w:tc>
          <w:tcPr>
            <w:tcW w:w="0" w:type="auto"/>
            <w:tcBorders>
              <w:top w:val="nil"/>
              <w:left w:val="nil"/>
              <w:bottom w:val="single" w:sz="18" w:space="0" w:color="FF4E00"/>
              <w:right w:val="nil"/>
            </w:tcBorders>
            <w:shd w:val="clear" w:color="auto" w:fill="FFFFFF"/>
            <w:vAlign w:val="bottom"/>
            <w:hideMark/>
          </w:tcPr>
          <w:p w14:paraId="2D61FC6D"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Shipping commitment timelines and percentages of total confirmed influenza vaccine reservation by March 31</w:t>
            </w:r>
          </w:p>
        </w:tc>
      </w:tr>
      <w:tr w:rsidR="008F391D" w14:paraId="5D51B354" w14:textId="77777777" w:rsidTr="008F391D">
        <w:tc>
          <w:tcPr>
            <w:tcW w:w="0" w:type="auto"/>
            <w:tcBorders>
              <w:top w:val="nil"/>
              <w:left w:val="nil"/>
              <w:bottom w:val="single" w:sz="6" w:space="0" w:color="999999"/>
              <w:right w:val="nil"/>
            </w:tcBorders>
            <w:shd w:val="clear" w:color="auto" w:fill="FFFFFF"/>
            <w:hideMark/>
          </w:tcPr>
          <w:p w14:paraId="44D23EB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High-Dose and Flublok</w:t>
            </w:r>
          </w:p>
        </w:tc>
        <w:tc>
          <w:tcPr>
            <w:tcW w:w="0" w:type="auto"/>
            <w:tcBorders>
              <w:top w:val="nil"/>
              <w:left w:val="nil"/>
              <w:bottom w:val="single" w:sz="6" w:space="0" w:color="999999"/>
              <w:right w:val="nil"/>
            </w:tcBorders>
            <w:shd w:val="clear" w:color="auto" w:fill="FFFFFF"/>
            <w:hideMark/>
          </w:tcPr>
          <w:p w14:paraId="50BC27DA"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Sept. 30 – 75% of doses shipped; Oct. 31 – 100% of doses shipped</w:t>
            </w:r>
          </w:p>
        </w:tc>
      </w:tr>
      <w:tr w:rsidR="008F391D" w14:paraId="0ED57CB3" w14:textId="77777777" w:rsidTr="008F391D">
        <w:tc>
          <w:tcPr>
            <w:tcW w:w="0" w:type="auto"/>
            <w:tcBorders>
              <w:top w:val="nil"/>
              <w:left w:val="nil"/>
              <w:bottom w:val="single" w:sz="6" w:space="0" w:color="999999"/>
              <w:right w:val="nil"/>
            </w:tcBorders>
            <w:shd w:val="clear" w:color="auto" w:fill="FFFFFF"/>
            <w:hideMark/>
          </w:tcPr>
          <w:p w14:paraId="2259954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lastRenderedPageBreak/>
              <w:t>All other Fluzone vaccines</w:t>
            </w:r>
          </w:p>
        </w:tc>
        <w:tc>
          <w:tcPr>
            <w:tcW w:w="0" w:type="auto"/>
            <w:tcBorders>
              <w:top w:val="nil"/>
              <w:left w:val="nil"/>
              <w:bottom w:val="single" w:sz="6" w:space="0" w:color="999999"/>
              <w:right w:val="nil"/>
            </w:tcBorders>
            <w:shd w:val="clear" w:color="auto" w:fill="FFFFFF"/>
            <w:hideMark/>
          </w:tcPr>
          <w:p w14:paraId="61BF9C2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Sept. 30 – 50% of doses shipped; Oct. 31 – 100% of doses shipped</w:t>
            </w:r>
          </w:p>
        </w:tc>
      </w:tr>
    </w:tbl>
    <w:p w14:paraId="2F1DA948"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r>
      <w:r>
        <w:rPr>
          <w:rStyle w:val="Strong"/>
          <w:rFonts w:ascii="Arial" w:eastAsia="Times New Roman" w:hAnsi="Arial" w:cs="Arial"/>
          <w:color w:val="221F20"/>
          <w:sz w:val="21"/>
          <w:szCs w:val="21"/>
        </w:rPr>
        <w:t>Health system agreement options:</w:t>
      </w:r>
      <w:r>
        <w:rPr>
          <w:rFonts w:ascii="Arial" w:eastAsia="Times New Roman" w:hAnsi="Arial" w:cs="Arial"/>
          <w:color w:val="221F20"/>
          <w:sz w:val="21"/>
          <w:szCs w:val="21"/>
        </w:rPr>
        <w:br/>
      </w:r>
      <w:r>
        <w:rPr>
          <w:rStyle w:val="Emphasis"/>
          <w:rFonts w:ascii="Arial" w:eastAsia="Times New Roman" w:hAnsi="Arial" w:cs="Arial"/>
          <w:color w:val="221F20"/>
          <w:sz w:val="21"/>
          <w:szCs w:val="21"/>
        </w:rPr>
        <w:t>(Please contact your local Sanofi Pasteur representative to discuss eligibility, and to obtain and complete the required health system participation contract)</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1806"/>
        <w:gridCol w:w="655"/>
        <w:gridCol w:w="2332"/>
        <w:gridCol w:w="2332"/>
        <w:gridCol w:w="3225"/>
      </w:tblGrid>
      <w:tr w:rsidR="008F391D" w14:paraId="5E6855CC" w14:textId="77777777" w:rsidTr="008F391D">
        <w:tc>
          <w:tcPr>
            <w:tcW w:w="0" w:type="auto"/>
            <w:tcBorders>
              <w:top w:val="nil"/>
              <w:left w:val="nil"/>
              <w:bottom w:val="single" w:sz="18" w:space="0" w:color="FF4E00"/>
              <w:right w:val="nil"/>
            </w:tcBorders>
            <w:shd w:val="clear" w:color="auto" w:fill="FFFFFF"/>
            <w:vAlign w:val="bottom"/>
            <w:hideMark/>
          </w:tcPr>
          <w:p w14:paraId="1FF4093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Description</w:t>
            </w:r>
          </w:p>
        </w:tc>
        <w:tc>
          <w:tcPr>
            <w:tcW w:w="0" w:type="auto"/>
            <w:tcBorders>
              <w:top w:val="nil"/>
              <w:left w:val="nil"/>
              <w:bottom w:val="single" w:sz="18" w:space="0" w:color="FF4E00"/>
              <w:right w:val="nil"/>
            </w:tcBorders>
            <w:shd w:val="clear" w:color="auto" w:fill="FFFFFF"/>
            <w:vAlign w:val="bottom"/>
            <w:hideMark/>
          </w:tcPr>
          <w:p w14:paraId="70128FEB"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NDC</w:t>
            </w:r>
          </w:p>
        </w:tc>
        <w:tc>
          <w:tcPr>
            <w:tcW w:w="0" w:type="auto"/>
            <w:tcBorders>
              <w:top w:val="nil"/>
              <w:left w:val="nil"/>
              <w:bottom w:val="single" w:sz="18" w:space="0" w:color="FF4E00"/>
              <w:right w:val="nil"/>
            </w:tcBorders>
            <w:shd w:val="clear" w:color="auto" w:fill="FFFFFF"/>
            <w:vAlign w:val="bottom"/>
            <w:hideMark/>
          </w:tcPr>
          <w:p w14:paraId="13281DC4"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Option 1: 80% market share *(Fluzone, Flublok) &amp; 90% market share (Fluzone High-Dose, Flublok)</w:t>
            </w:r>
          </w:p>
        </w:tc>
        <w:tc>
          <w:tcPr>
            <w:tcW w:w="0" w:type="auto"/>
            <w:tcBorders>
              <w:top w:val="nil"/>
              <w:left w:val="nil"/>
              <w:bottom w:val="single" w:sz="18" w:space="0" w:color="FF4E00"/>
              <w:right w:val="nil"/>
            </w:tcBorders>
            <w:shd w:val="clear" w:color="auto" w:fill="FFFFFF"/>
            <w:vAlign w:val="bottom"/>
            <w:hideMark/>
          </w:tcPr>
          <w:p w14:paraId="050A9131"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Option 2: 50% market share *(Fluzone, Flublok) &amp; 90% market share (Fluzone High-Dose, Flublok)</w:t>
            </w:r>
          </w:p>
        </w:tc>
        <w:tc>
          <w:tcPr>
            <w:tcW w:w="0" w:type="auto"/>
            <w:tcBorders>
              <w:top w:val="nil"/>
              <w:left w:val="nil"/>
              <w:bottom w:val="single" w:sz="18" w:space="0" w:color="FF4E00"/>
              <w:right w:val="nil"/>
            </w:tcBorders>
            <w:shd w:val="clear" w:color="auto" w:fill="FFFFFF"/>
            <w:vAlign w:val="bottom"/>
            <w:hideMark/>
          </w:tcPr>
          <w:p w14:paraId="0170C5FE"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Option 3: No market share requirement 90% prior year volume retention *(Fluzone &amp; Flublok) 90% prior year volume retention (Fluzone High-Dose, Flublok)</w:t>
            </w:r>
          </w:p>
        </w:tc>
      </w:tr>
      <w:tr w:rsidR="008F391D" w14:paraId="5028F281" w14:textId="77777777" w:rsidTr="008F391D">
        <w:tc>
          <w:tcPr>
            <w:tcW w:w="0" w:type="auto"/>
            <w:tcBorders>
              <w:top w:val="nil"/>
              <w:left w:val="nil"/>
              <w:bottom w:val="single" w:sz="6" w:space="0" w:color="999999"/>
              <w:right w:val="nil"/>
            </w:tcBorders>
            <w:shd w:val="clear" w:color="auto" w:fill="FFFFFF"/>
            <w:hideMark/>
          </w:tcPr>
          <w:p w14:paraId="63B0599C"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vaccine 5 mL multidose vial, 10 doses</w:t>
            </w:r>
          </w:p>
        </w:tc>
        <w:tc>
          <w:tcPr>
            <w:tcW w:w="0" w:type="auto"/>
            <w:tcBorders>
              <w:top w:val="nil"/>
              <w:left w:val="nil"/>
              <w:bottom w:val="single" w:sz="6" w:space="0" w:color="999999"/>
              <w:right w:val="nil"/>
            </w:tcBorders>
            <w:shd w:val="clear" w:color="auto" w:fill="FFFFFF"/>
            <w:noWrap/>
            <w:hideMark/>
          </w:tcPr>
          <w:p w14:paraId="7F6AAD8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3A911267"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$160.47</w:t>
            </w:r>
          </w:p>
        </w:tc>
        <w:tc>
          <w:tcPr>
            <w:tcW w:w="0" w:type="auto"/>
            <w:tcBorders>
              <w:top w:val="nil"/>
              <w:left w:val="nil"/>
              <w:bottom w:val="single" w:sz="6" w:space="0" w:color="999999"/>
              <w:right w:val="nil"/>
            </w:tcBorders>
            <w:shd w:val="clear" w:color="auto" w:fill="FFFFFF"/>
            <w:hideMark/>
          </w:tcPr>
          <w:p w14:paraId="6A7BCFF5"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$160.48</w:t>
            </w:r>
          </w:p>
        </w:tc>
        <w:tc>
          <w:tcPr>
            <w:tcW w:w="0" w:type="auto"/>
            <w:tcBorders>
              <w:top w:val="nil"/>
              <w:left w:val="nil"/>
              <w:bottom w:val="single" w:sz="6" w:space="0" w:color="999999"/>
              <w:right w:val="nil"/>
            </w:tcBorders>
            <w:shd w:val="clear" w:color="auto" w:fill="FFFFFF"/>
            <w:hideMark/>
          </w:tcPr>
          <w:p w14:paraId="2AE5E257"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$161.89</w:t>
            </w:r>
          </w:p>
        </w:tc>
      </w:tr>
      <w:tr w:rsidR="008F391D" w14:paraId="7CB1A59B" w14:textId="77777777" w:rsidTr="008F391D">
        <w:tc>
          <w:tcPr>
            <w:tcW w:w="0" w:type="auto"/>
            <w:tcBorders>
              <w:top w:val="nil"/>
              <w:left w:val="nil"/>
              <w:bottom w:val="single" w:sz="6" w:space="0" w:color="999999"/>
              <w:right w:val="nil"/>
            </w:tcBorders>
            <w:shd w:val="clear" w:color="auto" w:fill="FFFFFF"/>
            <w:hideMark/>
          </w:tcPr>
          <w:p w14:paraId="4DEC22F8"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vaccine 0.5 mL prefilled syringe, 10 doses</w:t>
            </w:r>
          </w:p>
        </w:tc>
        <w:tc>
          <w:tcPr>
            <w:tcW w:w="0" w:type="auto"/>
            <w:tcBorders>
              <w:top w:val="nil"/>
              <w:left w:val="nil"/>
              <w:bottom w:val="single" w:sz="6" w:space="0" w:color="999999"/>
              <w:right w:val="nil"/>
            </w:tcBorders>
            <w:shd w:val="clear" w:color="auto" w:fill="FFFFFF"/>
            <w:noWrap/>
            <w:hideMark/>
          </w:tcPr>
          <w:p w14:paraId="77065157"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486B8139"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$170.10</w:t>
            </w:r>
          </w:p>
        </w:tc>
        <w:tc>
          <w:tcPr>
            <w:tcW w:w="0" w:type="auto"/>
            <w:tcBorders>
              <w:top w:val="nil"/>
              <w:left w:val="nil"/>
              <w:bottom w:val="single" w:sz="6" w:space="0" w:color="999999"/>
              <w:right w:val="nil"/>
            </w:tcBorders>
            <w:shd w:val="clear" w:color="auto" w:fill="FFFFFF"/>
            <w:hideMark/>
          </w:tcPr>
          <w:p w14:paraId="5F49430B"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$170.12</w:t>
            </w:r>
          </w:p>
        </w:tc>
        <w:tc>
          <w:tcPr>
            <w:tcW w:w="0" w:type="auto"/>
            <w:tcBorders>
              <w:top w:val="nil"/>
              <w:left w:val="nil"/>
              <w:bottom w:val="single" w:sz="6" w:space="0" w:color="999999"/>
              <w:right w:val="nil"/>
            </w:tcBorders>
            <w:shd w:val="clear" w:color="auto" w:fill="FFFFFF"/>
            <w:hideMark/>
          </w:tcPr>
          <w:p w14:paraId="189DE6F3"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$171.65</w:t>
            </w:r>
          </w:p>
        </w:tc>
      </w:tr>
      <w:tr w:rsidR="008F391D" w14:paraId="51124D8A" w14:textId="77777777" w:rsidTr="008F391D">
        <w:tc>
          <w:tcPr>
            <w:tcW w:w="0" w:type="auto"/>
            <w:tcBorders>
              <w:top w:val="nil"/>
              <w:left w:val="nil"/>
              <w:bottom w:val="single" w:sz="6" w:space="0" w:color="999999"/>
              <w:right w:val="nil"/>
            </w:tcBorders>
            <w:shd w:val="clear" w:color="auto" w:fill="FFFFFF"/>
            <w:hideMark/>
          </w:tcPr>
          <w:p w14:paraId="462B2764"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High-Dose vaccine 0.7 mL prefilled syringe, 10 doses</w:t>
            </w:r>
          </w:p>
        </w:tc>
        <w:tc>
          <w:tcPr>
            <w:tcW w:w="0" w:type="auto"/>
            <w:tcBorders>
              <w:top w:val="nil"/>
              <w:left w:val="nil"/>
              <w:bottom w:val="single" w:sz="6" w:space="0" w:color="999999"/>
              <w:right w:val="nil"/>
            </w:tcBorders>
            <w:shd w:val="clear" w:color="auto" w:fill="FFFFFF"/>
            <w:noWrap/>
            <w:hideMark/>
          </w:tcPr>
          <w:p w14:paraId="0092F96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2175ADBF"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$613.47</w:t>
            </w:r>
          </w:p>
        </w:tc>
        <w:tc>
          <w:tcPr>
            <w:tcW w:w="0" w:type="auto"/>
            <w:tcBorders>
              <w:top w:val="nil"/>
              <w:left w:val="nil"/>
              <w:bottom w:val="single" w:sz="6" w:space="0" w:color="999999"/>
              <w:right w:val="nil"/>
            </w:tcBorders>
            <w:shd w:val="clear" w:color="auto" w:fill="FFFFFF"/>
            <w:hideMark/>
          </w:tcPr>
          <w:p w14:paraId="3A973202"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$619.60</w:t>
            </w:r>
          </w:p>
        </w:tc>
        <w:tc>
          <w:tcPr>
            <w:tcW w:w="0" w:type="auto"/>
            <w:tcBorders>
              <w:top w:val="nil"/>
              <w:left w:val="nil"/>
              <w:bottom w:val="single" w:sz="6" w:space="0" w:color="999999"/>
              <w:right w:val="nil"/>
            </w:tcBorders>
            <w:shd w:val="clear" w:color="auto" w:fill="FFFFFF"/>
            <w:hideMark/>
          </w:tcPr>
          <w:p w14:paraId="55664FDA"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$625.73</w:t>
            </w:r>
          </w:p>
        </w:tc>
      </w:tr>
      <w:tr w:rsidR="008F391D" w14:paraId="2917FD46" w14:textId="77777777" w:rsidTr="008F391D">
        <w:tc>
          <w:tcPr>
            <w:tcW w:w="0" w:type="auto"/>
            <w:tcBorders>
              <w:top w:val="nil"/>
              <w:left w:val="nil"/>
              <w:bottom w:val="single" w:sz="6" w:space="0" w:color="999999"/>
              <w:right w:val="nil"/>
            </w:tcBorders>
            <w:shd w:val="clear" w:color="auto" w:fill="FFFFFF"/>
            <w:hideMark/>
          </w:tcPr>
          <w:p w14:paraId="46357DD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Flublok vaccine 0.5 mL prefilled syringe, 10 doses</w:t>
            </w:r>
          </w:p>
        </w:tc>
        <w:tc>
          <w:tcPr>
            <w:tcW w:w="0" w:type="auto"/>
            <w:tcBorders>
              <w:top w:val="nil"/>
              <w:left w:val="nil"/>
              <w:bottom w:val="single" w:sz="6" w:space="0" w:color="999999"/>
              <w:right w:val="nil"/>
            </w:tcBorders>
            <w:shd w:val="clear" w:color="auto" w:fill="FFFFFF"/>
            <w:noWrap/>
            <w:hideMark/>
          </w:tcPr>
          <w:p w14:paraId="0D28E79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TBD</w:t>
            </w:r>
          </w:p>
        </w:tc>
        <w:tc>
          <w:tcPr>
            <w:tcW w:w="0" w:type="auto"/>
            <w:tcBorders>
              <w:top w:val="nil"/>
              <w:left w:val="nil"/>
              <w:bottom w:val="single" w:sz="6" w:space="0" w:color="999999"/>
              <w:right w:val="nil"/>
            </w:tcBorders>
            <w:shd w:val="clear" w:color="auto" w:fill="FFFFFF"/>
            <w:hideMark/>
          </w:tcPr>
          <w:p w14:paraId="754845F8"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$613.47</w:t>
            </w:r>
          </w:p>
        </w:tc>
        <w:tc>
          <w:tcPr>
            <w:tcW w:w="0" w:type="auto"/>
            <w:tcBorders>
              <w:top w:val="nil"/>
              <w:left w:val="nil"/>
              <w:bottom w:val="single" w:sz="6" w:space="0" w:color="999999"/>
              <w:right w:val="nil"/>
            </w:tcBorders>
            <w:shd w:val="clear" w:color="auto" w:fill="FFFFFF"/>
            <w:hideMark/>
          </w:tcPr>
          <w:p w14:paraId="70B11FF2"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$619.60</w:t>
            </w:r>
          </w:p>
        </w:tc>
        <w:tc>
          <w:tcPr>
            <w:tcW w:w="0" w:type="auto"/>
            <w:tcBorders>
              <w:top w:val="nil"/>
              <w:left w:val="nil"/>
              <w:bottom w:val="single" w:sz="6" w:space="0" w:color="999999"/>
              <w:right w:val="nil"/>
            </w:tcBorders>
            <w:shd w:val="clear" w:color="auto" w:fill="FFFFFF"/>
            <w:hideMark/>
          </w:tcPr>
          <w:p w14:paraId="562373A2"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$625.73</w:t>
            </w:r>
          </w:p>
        </w:tc>
      </w:tr>
      <w:tr w:rsidR="008F391D" w14:paraId="7DB5A503" w14:textId="77777777" w:rsidTr="008F391D">
        <w:tc>
          <w:tcPr>
            <w:tcW w:w="0" w:type="auto"/>
            <w:tcBorders>
              <w:top w:val="nil"/>
              <w:left w:val="nil"/>
              <w:bottom w:val="single" w:sz="6" w:space="0" w:color="999999"/>
              <w:right w:val="nil"/>
            </w:tcBorders>
            <w:shd w:val="clear" w:color="auto" w:fill="FFFFFF"/>
            <w:hideMark/>
          </w:tcPr>
          <w:p w14:paraId="185C1DBB"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rebate</w:t>
            </w:r>
          </w:p>
        </w:tc>
        <w:tc>
          <w:tcPr>
            <w:tcW w:w="0" w:type="auto"/>
            <w:tcBorders>
              <w:top w:val="nil"/>
              <w:left w:val="nil"/>
              <w:bottom w:val="single" w:sz="6" w:space="0" w:color="999999"/>
              <w:right w:val="nil"/>
            </w:tcBorders>
            <w:shd w:val="clear" w:color="auto" w:fill="FFFFFF"/>
            <w:hideMark/>
          </w:tcPr>
          <w:p w14:paraId="20ED445C"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w:t>
            </w:r>
          </w:p>
        </w:tc>
        <w:tc>
          <w:tcPr>
            <w:tcW w:w="0" w:type="auto"/>
            <w:tcBorders>
              <w:top w:val="nil"/>
              <w:left w:val="nil"/>
              <w:bottom w:val="single" w:sz="6" w:space="0" w:color="999999"/>
              <w:right w:val="nil"/>
            </w:tcBorders>
            <w:shd w:val="clear" w:color="auto" w:fill="FFFFFF"/>
            <w:hideMark/>
          </w:tcPr>
          <w:p w14:paraId="49644474"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2%</w:t>
            </w:r>
          </w:p>
        </w:tc>
        <w:tc>
          <w:tcPr>
            <w:tcW w:w="0" w:type="auto"/>
            <w:tcBorders>
              <w:top w:val="nil"/>
              <w:left w:val="nil"/>
              <w:bottom w:val="single" w:sz="6" w:space="0" w:color="999999"/>
              <w:right w:val="nil"/>
            </w:tcBorders>
            <w:shd w:val="clear" w:color="auto" w:fill="FFFFFF"/>
            <w:hideMark/>
          </w:tcPr>
          <w:p w14:paraId="26A2F779"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1%</w:t>
            </w:r>
          </w:p>
        </w:tc>
        <w:tc>
          <w:tcPr>
            <w:tcW w:w="0" w:type="auto"/>
            <w:tcBorders>
              <w:top w:val="nil"/>
              <w:left w:val="nil"/>
              <w:bottom w:val="single" w:sz="6" w:space="0" w:color="999999"/>
              <w:right w:val="nil"/>
            </w:tcBorders>
            <w:shd w:val="clear" w:color="auto" w:fill="FFFFFF"/>
            <w:hideMark/>
          </w:tcPr>
          <w:p w14:paraId="54FCB4EC"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0%</w:t>
            </w:r>
          </w:p>
        </w:tc>
      </w:tr>
      <w:tr w:rsidR="008F391D" w14:paraId="0C8C3D11" w14:textId="77777777" w:rsidTr="008F391D">
        <w:tc>
          <w:tcPr>
            <w:tcW w:w="0" w:type="auto"/>
            <w:tcBorders>
              <w:top w:val="nil"/>
              <w:left w:val="nil"/>
              <w:bottom w:val="single" w:sz="6" w:space="0" w:color="999999"/>
              <w:right w:val="nil"/>
            </w:tcBorders>
            <w:shd w:val="clear" w:color="auto" w:fill="FFFFFF"/>
            <w:hideMark/>
          </w:tcPr>
          <w:p w14:paraId="3C8857C8"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Fluzone High-Dose and Flublok rebate</w:t>
            </w:r>
          </w:p>
        </w:tc>
        <w:tc>
          <w:tcPr>
            <w:tcW w:w="0" w:type="auto"/>
            <w:tcBorders>
              <w:top w:val="nil"/>
              <w:left w:val="nil"/>
              <w:bottom w:val="single" w:sz="6" w:space="0" w:color="999999"/>
              <w:right w:val="nil"/>
            </w:tcBorders>
            <w:shd w:val="clear" w:color="auto" w:fill="FFFFFF"/>
            <w:hideMark/>
          </w:tcPr>
          <w:p w14:paraId="559C5884"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w:t>
            </w:r>
          </w:p>
        </w:tc>
        <w:tc>
          <w:tcPr>
            <w:tcW w:w="0" w:type="auto"/>
            <w:tcBorders>
              <w:top w:val="nil"/>
              <w:left w:val="nil"/>
              <w:bottom w:val="single" w:sz="6" w:space="0" w:color="999999"/>
              <w:right w:val="nil"/>
            </w:tcBorders>
            <w:shd w:val="clear" w:color="auto" w:fill="FFFFFF"/>
            <w:hideMark/>
          </w:tcPr>
          <w:p w14:paraId="69FC9704"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2%</w:t>
            </w:r>
          </w:p>
        </w:tc>
        <w:tc>
          <w:tcPr>
            <w:tcW w:w="0" w:type="auto"/>
            <w:tcBorders>
              <w:top w:val="nil"/>
              <w:left w:val="nil"/>
              <w:bottom w:val="single" w:sz="6" w:space="0" w:color="999999"/>
              <w:right w:val="nil"/>
            </w:tcBorders>
            <w:shd w:val="clear" w:color="auto" w:fill="FFFFFF"/>
            <w:hideMark/>
          </w:tcPr>
          <w:p w14:paraId="1A3A7735"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2%</w:t>
            </w:r>
          </w:p>
        </w:tc>
        <w:tc>
          <w:tcPr>
            <w:tcW w:w="0" w:type="auto"/>
            <w:tcBorders>
              <w:top w:val="nil"/>
              <w:left w:val="nil"/>
              <w:bottom w:val="single" w:sz="6" w:space="0" w:color="999999"/>
              <w:right w:val="nil"/>
            </w:tcBorders>
            <w:shd w:val="clear" w:color="auto" w:fill="FFFFFF"/>
            <w:hideMark/>
          </w:tcPr>
          <w:p w14:paraId="4FFBDE4E"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2%</w:t>
            </w:r>
          </w:p>
        </w:tc>
      </w:tr>
    </w:tbl>
    <w:p w14:paraId="7B0F69C6" w14:textId="77777777" w:rsidR="008F391D" w:rsidRDefault="008F391D" w:rsidP="008F391D">
      <w:pPr>
        <w:spacing w:line="315" w:lineRule="exact"/>
        <w:rPr>
          <w:rFonts w:ascii="Arial" w:eastAsia="Times New Roman" w:hAnsi="Arial" w:cs="Arial"/>
          <w:vanish/>
          <w:color w:val="221F20"/>
          <w:sz w:val="21"/>
          <w:szCs w:val="21"/>
        </w:rPr>
      </w:pPr>
    </w:p>
    <w:tbl>
      <w:tblPr>
        <w:tblW w:w="10350" w:type="dxa"/>
        <w:shd w:val="clear" w:color="auto" w:fill="FFFFFF"/>
        <w:tblCellMar>
          <w:left w:w="0" w:type="dxa"/>
          <w:right w:w="0" w:type="dxa"/>
        </w:tblCellMar>
        <w:tblLook w:val="04A0" w:firstRow="1" w:lastRow="0" w:firstColumn="1" w:lastColumn="0" w:noHBand="0" w:noVBand="1"/>
      </w:tblPr>
      <w:tblGrid>
        <w:gridCol w:w="10350"/>
      </w:tblGrid>
      <w:tr w:rsidR="008F391D" w14:paraId="22EA376F" w14:textId="77777777" w:rsidTr="008F391D">
        <w:tc>
          <w:tcPr>
            <w:tcW w:w="90" w:type="dxa"/>
            <w:shd w:val="clear" w:color="auto" w:fill="FFFFFF"/>
            <w:vAlign w:val="center"/>
            <w:hideMark/>
          </w:tcPr>
          <w:p w14:paraId="1959BE67" w14:textId="32137B84" w:rsidR="008F391D" w:rsidRDefault="008F391D">
            <w:pPr>
              <w:spacing w:line="0" w:lineRule="atLeast"/>
              <w:rPr>
                <w:rFonts w:ascii="Arial" w:eastAsia="Times New Roman" w:hAnsi="Arial" w:cs="Arial"/>
                <w:sz w:val="2"/>
                <w:szCs w:val="2"/>
              </w:rPr>
            </w:pPr>
            <w:r>
              <w:rPr>
                <w:rFonts w:ascii="Arial" w:eastAsia="Times New Roman" w:hAnsi="Arial" w:cs="Arial"/>
                <w:noProof/>
                <w:sz w:val="2"/>
                <w:szCs w:val="2"/>
              </w:rPr>
              <w:drawing>
                <wp:inline distT="0" distB="0" distL="0" distR="0" wp14:anchorId="725B9A98" wp14:editId="75DCC8E2">
                  <wp:extent cx="57150" cy="5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8F391D" w14:paraId="2D16F877" w14:textId="77777777" w:rsidTr="008F391D">
        <w:tc>
          <w:tcPr>
            <w:tcW w:w="90" w:type="dxa"/>
            <w:shd w:val="clear" w:color="auto" w:fill="FFFFFF"/>
            <w:vAlign w:val="center"/>
            <w:hideMark/>
          </w:tcPr>
          <w:p w14:paraId="0E5D51C7" w14:textId="77777777" w:rsidR="008F391D" w:rsidRDefault="008F391D">
            <w:pPr>
              <w:spacing w:before="15" w:line="285" w:lineRule="exact"/>
              <w:rPr>
                <w:rFonts w:ascii="Arial" w:eastAsia="Times New Roman" w:hAnsi="Arial" w:cs="Arial"/>
                <w:color w:val="221F20"/>
                <w:sz w:val="18"/>
                <w:szCs w:val="18"/>
              </w:rPr>
            </w:pPr>
            <w:r>
              <w:rPr>
                <w:rStyle w:val="Emphasis"/>
                <w:rFonts w:ascii="Arial" w:eastAsia="Times New Roman" w:hAnsi="Arial" w:cs="Arial"/>
                <w:color w:val="221F20"/>
                <w:sz w:val="18"/>
                <w:szCs w:val="18"/>
              </w:rPr>
              <w:t>A FET of 75 cents per dose will be assessed and is not included in the pricing above.</w:t>
            </w:r>
            <w:r>
              <w:rPr>
                <w:rFonts w:ascii="Arial" w:eastAsia="Times New Roman" w:hAnsi="Arial" w:cs="Arial"/>
                <w:i/>
                <w:iCs/>
                <w:color w:val="221F20"/>
                <w:sz w:val="18"/>
                <w:szCs w:val="18"/>
              </w:rPr>
              <w:br/>
            </w:r>
            <w:r>
              <w:rPr>
                <w:rFonts w:ascii="Arial" w:eastAsia="Times New Roman" w:hAnsi="Arial" w:cs="Arial"/>
                <w:i/>
                <w:iCs/>
                <w:color w:val="221F20"/>
                <w:sz w:val="18"/>
                <w:szCs w:val="18"/>
              </w:rPr>
              <w:br/>
            </w:r>
            <w:r>
              <w:rPr>
                <w:rStyle w:val="Emphasis"/>
                <w:rFonts w:ascii="Arial" w:eastAsia="Times New Roman" w:hAnsi="Arial" w:cs="Arial"/>
                <w:color w:val="221F20"/>
                <w:sz w:val="18"/>
                <w:szCs w:val="18"/>
              </w:rPr>
              <w:t>* Does not include Fluzone High-Dose vaccine</w:t>
            </w:r>
            <w:r>
              <w:rPr>
                <w:rFonts w:ascii="Arial" w:eastAsia="Times New Roman" w:hAnsi="Arial" w:cs="Arial"/>
                <w:i/>
                <w:iCs/>
                <w:color w:val="221F20"/>
                <w:sz w:val="18"/>
                <w:szCs w:val="18"/>
              </w:rPr>
              <w:br/>
            </w:r>
            <w:r>
              <w:rPr>
                <w:rStyle w:val="Emphasis"/>
                <w:rFonts w:ascii="Arial" w:eastAsia="Times New Roman" w:hAnsi="Arial" w:cs="Arial"/>
                <w:color w:val="221F20"/>
                <w:sz w:val="18"/>
                <w:szCs w:val="18"/>
              </w:rPr>
              <w:t>**Does not include Fluzone High-Dose vaccine and Flublok vaccine</w:t>
            </w:r>
          </w:p>
        </w:tc>
      </w:tr>
    </w:tbl>
    <w:p w14:paraId="6546B768"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Additional terms:</w:t>
      </w:r>
    </w:p>
    <w:tbl>
      <w:tblPr>
        <w:tblW w:w="10350" w:type="dxa"/>
        <w:tblCellMar>
          <w:top w:w="40" w:type="dxa"/>
          <w:left w:w="40" w:type="dxa"/>
          <w:bottom w:w="40" w:type="dxa"/>
          <w:right w:w="40" w:type="dxa"/>
        </w:tblCellMar>
        <w:tblLook w:val="04A0" w:firstRow="1" w:lastRow="0" w:firstColumn="1" w:lastColumn="0" w:noHBand="0" w:noVBand="1"/>
      </w:tblPr>
      <w:tblGrid>
        <w:gridCol w:w="158"/>
        <w:gridCol w:w="10192"/>
      </w:tblGrid>
      <w:tr w:rsidR="008F391D" w14:paraId="569DB493" w14:textId="77777777" w:rsidTr="008F391D">
        <w:tc>
          <w:tcPr>
            <w:tcW w:w="150" w:type="dxa"/>
            <w:hideMark/>
          </w:tcPr>
          <w:p w14:paraId="64F70A3D"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7450B0DB"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2% direct order discount (orders direct from Sanofi Pasteur by April 19 online or by phone)</w:t>
            </w:r>
            <w:r>
              <w:rPr>
                <w:rFonts w:ascii="Arial" w:eastAsia="Times New Roman" w:hAnsi="Arial" w:cs="Arial"/>
                <w:color w:val="221F20"/>
                <w:sz w:val="21"/>
                <w:szCs w:val="21"/>
              </w:rPr>
              <w:br/>
              <w:t>*Excludes Fluzone High-Dose and Flublok</w:t>
            </w:r>
          </w:p>
        </w:tc>
      </w:tr>
      <w:tr w:rsidR="008F391D" w14:paraId="482AA2C3" w14:textId="77777777" w:rsidTr="008F391D">
        <w:tc>
          <w:tcPr>
            <w:tcW w:w="150" w:type="dxa"/>
            <w:hideMark/>
          </w:tcPr>
          <w:p w14:paraId="7B253E58"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5ED5B917"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 xml:space="preserve">1% web discount (orders placed online at </w:t>
            </w:r>
            <w:hyperlink r:id="rId17" w:history="1">
              <w:r>
                <w:rPr>
                  <w:rStyle w:val="Hyperlink"/>
                  <w:rFonts w:ascii="Arial" w:eastAsia="Times New Roman" w:hAnsi="Arial" w:cs="Arial"/>
                  <w:sz w:val="21"/>
                  <w:szCs w:val="21"/>
                </w:rPr>
                <w:t>vaccineshoppe.com</w:t>
              </w:r>
            </w:hyperlink>
            <w:r>
              <w:rPr>
                <w:rFonts w:ascii="Arial" w:eastAsia="Times New Roman" w:hAnsi="Arial" w:cs="Arial"/>
                <w:color w:val="221F20"/>
                <w:sz w:val="21"/>
                <w:szCs w:val="21"/>
              </w:rPr>
              <w:t>)</w:t>
            </w:r>
          </w:p>
        </w:tc>
      </w:tr>
      <w:tr w:rsidR="008F391D" w14:paraId="0DB32C6B" w14:textId="77777777" w:rsidTr="008F391D">
        <w:tc>
          <w:tcPr>
            <w:tcW w:w="150" w:type="dxa"/>
            <w:hideMark/>
          </w:tcPr>
          <w:p w14:paraId="26B2F2E6"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lastRenderedPageBreak/>
              <w:t>•</w:t>
            </w:r>
          </w:p>
        </w:tc>
        <w:tc>
          <w:tcPr>
            <w:tcW w:w="9960" w:type="dxa"/>
            <w:hideMark/>
          </w:tcPr>
          <w:p w14:paraId="3A1D3626"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Payment terms are 2% 90, net 91 days</w:t>
            </w:r>
          </w:p>
        </w:tc>
      </w:tr>
    </w:tbl>
    <w:p w14:paraId="2DBBCBD4"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r>
      <w:r>
        <w:rPr>
          <w:rStyle w:val="Strong"/>
          <w:rFonts w:ascii="Arial" w:eastAsia="Times New Roman" w:hAnsi="Arial" w:cs="Arial"/>
          <w:color w:val="221F20"/>
          <w:sz w:val="21"/>
          <w:szCs w:val="21"/>
        </w:rPr>
        <w:t>Health system agreement Flublok Rebate:</w:t>
      </w:r>
      <w:r>
        <w:rPr>
          <w:rFonts w:ascii="Arial" w:eastAsia="Times New Roman" w:hAnsi="Arial" w:cs="Arial"/>
          <w:color w:val="221F20"/>
          <w:sz w:val="21"/>
          <w:szCs w:val="21"/>
        </w:rPr>
        <w:br/>
      </w:r>
      <w:r>
        <w:rPr>
          <w:rStyle w:val="Emphasis"/>
          <w:rFonts w:ascii="Arial" w:eastAsia="Times New Roman" w:hAnsi="Arial" w:cs="Arial"/>
          <w:color w:val="221F20"/>
          <w:sz w:val="21"/>
          <w:szCs w:val="21"/>
        </w:rPr>
        <w:t>(Optional Add-on available for health systems participating in Health System Agreement options. Please contact your local Sanofi Pasteur representative to discuss eligibility, and to obtain and complete the required health system participation contract)</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4123"/>
        <w:gridCol w:w="3089"/>
        <w:gridCol w:w="3138"/>
      </w:tblGrid>
      <w:tr w:rsidR="008F391D" w14:paraId="48BC5A4C" w14:textId="77777777" w:rsidTr="008F391D">
        <w:tc>
          <w:tcPr>
            <w:tcW w:w="3765" w:type="dxa"/>
            <w:tcBorders>
              <w:top w:val="nil"/>
              <w:left w:val="nil"/>
              <w:bottom w:val="single" w:sz="6" w:space="0" w:color="999999"/>
              <w:right w:val="nil"/>
            </w:tcBorders>
            <w:shd w:val="clear" w:color="auto" w:fill="FFFFFF"/>
            <w:hideMark/>
          </w:tcPr>
          <w:p w14:paraId="18875E62" w14:textId="77777777" w:rsidR="008F391D" w:rsidRDefault="008F391D">
            <w:pPr>
              <w:rPr>
                <w:rFonts w:ascii="Arial" w:eastAsia="Times New Roman" w:hAnsi="Arial" w:cs="Arial"/>
                <w:color w:val="221F20"/>
                <w:sz w:val="21"/>
                <w:szCs w:val="21"/>
              </w:rPr>
            </w:pPr>
          </w:p>
        </w:tc>
        <w:tc>
          <w:tcPr>
            <w:tcW w:w="2820" w:type="dxa"/>
            <w:tcBorders>
              <w:top w:val="nil"/>
              <w:left w:val="nil"/>
              <w:bottom w:val="single" w:sz="18" w:space="0" w:color="FF4E00"/>
              <w:right w:val="nil"/>
            </w:tcBorders>
            <w:shd w:val="clear" w:color="auto" w:fill="FFFFFF"/>
            <w:vAlign w:val="bottom"/>
            <w:hideMark/>
          </w:tcPr>
          <w:p w14:paraId="1C3C8B54"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Option 1</w:t>
            </w:r>
          </w:p>
        </w:tc>
        <w:tc>
          <w:tcPr>
            <w:tcW w:w="2865" w:type="dxa"/>
            <w:tcBorders>
              <w:top w:val="nil"/>
              <w:left w:val="nil"/>
              <w:bottom w:val="single" w:sz="18" w:space="0" w:color="FF4E00"/>
              <w:right w:val="nil"/>
            </w:tcBorders>
            <w:shd w:val="clear" w:color="auto" w:fill="FFFFFF"/>
            <w:vAlign w:val="bottom"/>
            <w:hideMark/>
          </w:tcPr>
          <w:p w14:paraId="59B9D20E"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Option 2</w:t>
            </w:r>
          </w:p>
        </w:tc>
      </w:tr>
      <w:tr w:rsidR="008F391D" w14:paraId="30F20FB4" w14:textId="77777777" w:rsidTr="008F391D">
        <w:tc>
          <w:tcPr>
            <w:tcW w:w="0" w:type="auto"/>
            <w:tcBorders>
              <w:top w:val="nil"/>
              <w:left w:val="nil"/>
              <w:bottom w:val="single" w:sz="6" w:space="0" w:color="999999"/>
              <w:right w:val="nil"/>
            </w:tcBorders>
            <w:shd w:val="clear" w:color="auto" w:fill="FFFFFF"/>
            <w:hideMark/>
          </w:tcPr>
          <w:p w14:paraId="7CE0EF12" w14:textId="77777777" w:rsidR="008F391D" w:rsidRDefault="008F391D">
            <w:pPr>
              <w:spacing w:before="15" w:line="285" w:lineRule="exact"/>
              <w:rPr>
                <w:rFonts w:ascii="Arial" w:eastAsia="Times New Roman" w:hAnsi="Arial" w:cs="Arial"/>
                <w:color w:val="221F20"/>
                <w:sz w:val="18"/>
                <w:szCs w:val="18"/>
              </w:rPr>
            </w:pPr>
            <w:r>
              <w:rPr>
                <w:rStyle w:val="Strong"/>
                <w:rFonts w:ascii="Arial" w:eastAsia="Times New Roman" w:hAnsi="Arial" w:cs="Arial"/>
                <w:color w:val="221F20"/>
                <w:sz w:val="18"/>
                <w:szCs w:val="18"/>
              </w:rPr>
              <w:t>Fluzone High-Dose prior year volume</w:t>
            </w:r>
          </w:p>
        </w:tc>
        <w:tc>
          <w:tcPr>
            <w:tcW w:w="0" w:type="auto"/>
            <w:tcBorders>
              <w:top w:val="nil"/>
              <w:left w:val="nil"/>
              <w:bottom w:val="single" w:sz="6" w:space="0" w:color="999999"/>
              <w:right w:val="nil"/>
            </w:tcBorders>
            <w:shd w:val="clear" w:color="auto" w:fill="FFFFFF"/>
            <w:hideMark/>
          </w:tcPr>
          <w:p w14:paraId="5C408118"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95% prior year volume</w:t>
            </w:r>
          </w:p>
        </w:tc>
        <w:tc>
          <w:tcPr>
            <w:tcW w:w="0" w:type="auto"/>
            <w:tcBorders>
              <w:top w:val="nil"/>
              <w:left w:val="nil"/>
              <w:bottom w:val="single" w:sz="6" w:space="0" w:color="999999"/>
              <w:right w:val="nil"/>
            </w:tcBorders>
            <w:shd w:val="clear" w:color="auto" w:fill="FFFFFF"/>
            <w:hideMark/>
          </w:tcPr>
          <w:p w14:paraId="31A563CA"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95% prior year volume</w:t>
            </w:r>
          </w:p>
        </w:tc>
      </w:tr>
      <w:tr w:rsidR="008F391D" w14:paraId="77E03121" w14:textId="77777777" w:rsidTr="008F391D">
        <w:tc>
          <w:tcPr>
            <w:tcW w:w="0" w:type="auto"/>
            <w:tcBorders>
              <w:top w:val="nil"/>
              <w:left w:val="nil"/>
              <w:bottom w:val="single" w:sz="6" w:space="0" w:color="999999"/>
              <w:right w:val="nil"/>
            </w:tcBorders>
            <w:shd w:val="clear" w:color="auto" w:fill="FFFFFF"/>
            <w:hideMark/>
          </w:tcPr>
          <w:p w14:paraId="515145A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w:t>
            </w:r>
          </w:p>
        </w:tc>
        <w:tc>
          <w:tcPr>
            <w:tcW w:w="0" w:type="auto"/>
            <w:tcBorders>
              <w:top w:val="nil"/>
              <w:left w:val="nil"/>
              <w:bottom w:val="single" w:sz="6" w:space="0" w:color="999999"/>
              <w:right w:val="nil"/>
            </w:tcBorders>
            <w:shd w:val="clear" w:color="auto" w:fill="FFFFFF"/>
            <w:hideMark/>
          </w:tcPr>
          <w:p w14:paraId="35E91824"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&amp;</w:t>
            </w:r>
          </w:p>
        </w:tc>
        <w:tc>
          <w:tcPr>
            <w:tcW w:w="0" w:type="auto"/>
            <w:tcBorders>
              <w:top w:val="nil"/>
              <w:left w:val="nil"/>
              <w:bottom w:val="single" w:sz="6" w:space="0" w:color="999999"/>
              <w:right w:val="nil"/>
            </w:tcBorders>
            <w:shd w:val="clear" w:color="auto" w:fill="FFFFFF"/>
            <w:hideMark/>
          </w:tcPr>
          <w:p w14:paraId="4A4FF11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&amp;</w:t>
            </w:r>
          </w:p>
        </w:tc>
      </w:tr>
      <w:tr w:rsidR="008F391D" w14:paraId="4093079F" w14:textId="77777777" w:rsidTr="008F391D">
        <w:tc>
          <w:tcPr>
            <w:tcW w:w="0" w:type="auto"/>
            <w:tcBorders>
              <w:top w:val="nil"/>
              <w:left w:val="nil"/>
              <w:bottom w:val="single" w:sz="6" w:space="0" w:color="999999"/>
              <w:right w:val="nil"/>
            </w:tcBorders>
            <w:shd w:val="clear" w:color="auto" w:fill="FFFFFF"/>
            <w:hideMark/>
          </w:tcPr>
          <w:p w14:paraId="6EC9A6E9" w14:textId="77777777" w:rsidR="008F391D" w:rsidRDefault="008F391D">
            <w:pPr>
              <w:spacing w:before="15" w:line="285" w:lineRule="exact"/>
              <w:rPr>
                <w:rFonts w:ascii="Arial" w:eastAsia="Times New Roman" w:hAnsi="Arial" w:cs="Arial"/>
                <w:color w:val="221F20"/>
                <w:sz w:val="18"/>
                <w:szCs w:val="18"/>
              </w:rPr>
            </w:pPr>
            <w:r>
              <w:rPr>
                <w:rStyle w:val="Strong"/>
                <w:rFonts w:ascii="Arial" w:eastAsia="Times New Roman" w:hAnsi="Arial" w:cs="Arial"/>
                <w:color w:val="221F20"/>
                <w:sz w:val="18"/>
                <w:szCs w:val="18"/>
              </w:rPr>
              <w:t>Flublok market share</w:t>
            </w:r>
          </w:p>
        </w:tc>
        <w:tc>
          <w:tcPr>
            <w:tcW w:w="0" w:type="auto"/>
            <w:tcBorders>
              <w:top w:val="nil"/>
              <w:left w:val="nil"/>
              <w:bottom w:val="single" w:sz="6" w:space="0" w:color="999999"/>
              <w:right w:val="nil"/>
            </w:tcBorders>
            <w:shd w:val="clear" w:color="auto" w:fill="FFFFFF"/>
            <w:hideMark/>
          </w:tcPr>
          <w:p w14:paraId="4915367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10%</w:t>
            </w:r>
          </w:p>
        </w:tc>
        <w:tc>
          <w:tcPr>
            <w:tcW w:w="0" w:type="auto"/>
            <w:tcBorders>
              <w:top w:val="nil"/>
              <w:left w:val="nil"/>
              <w:bottom w:val="single" w:sz="6" w:space="0" w:color="999999"/>
              <w:right w:val="nil"/>
            </w:tcBorders>
            <w:shd w:val="clear" w:color="auto" w:fill="FFFFFF"/>
            <w:hideMark/>
          </w:tcPr>
          <w:p w14:paraId="4DD6B2B7"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20%</w:t>
            </w:r>
          </w:p>
        </w:tc>
      </w:tr>
      <w:tr w:rsidR="008F391D" w14:paraId="67A12366" w14:textId="77777777" w:rsidTr="008F391D">
        <w:tc>
          <w:tcPr>
            <w:tcW w:w="0" w:type="auto"/>
            <w:tcBorders>
              <w:top w:val="nil"/>
              <w:left w:val="nil"/>
              <w:bottom w:val="single" w:sz="6" w:space="0" w:color="999999"/>
              <w:right w:val="nil"/>
            </w:tcBorders>
            <w:shd w:val="clear" w:color="auto" w:fill="FFFFFF"/>
            <w:hideMark/>
          </w:tcPr>
          <w:p w14:paraId="6398433D" w14:textId="77777777" w:rsidR="008F391D" w:rsidRDefault="008F391D">
            <w:pPr>
              <w:spacing w:before="15" w:line="285" w:lineRule="exact"/>
              <w:rPr>
                <w:rFonts w:ascii="Arial" w:eastAsia="Times New Roman" w:hAnsi="Arial" w:cs="Arial"/>
                <w:color w:val="221F20"/>
                <w:sz w:val="18"/>
                <w:szCs w:val="18"/>
              </w:rPr>
            </w:pPr>
            <w:r>
              <w:rPr>
                <w:rStyle w:val="Strong"/>
                <w:rFonts w:ascii="Arial" w:eastAsia="Times New Roman" w:hAnsi="Arial" w:cs="Arial"/>
                <w:color w:val="221F20"/>
                <w:sz w:val="18"/>
                <w:szCs w:val="18"/>
              </w:rPr>
              <w:t>Flublok Rebate*</w:t>
            </w:r>
          </w:p>
        </w:tc>
        <w:tc>
          <w:tcPr>
            <w:tcW w:w="0" w:type="auto"/>
            <w:tcBorders>
              <w:top w:val="nil"/>
              <w:left w:val="nil"/>
              <w:bottom w:val="single" w:sz="6" w:space="0" w:color="999999"/>
              <w:right w:val="nil"/>
            </w:tcBorders>
            <w:shd w:val="clear" w:color="auto" w:fill="FFFFFF"/>
            <w:hideMark/>
          </w:tcPr>
          <w:p w14:paraId="63586B4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$2 per dose</w:t>
            </w:r>
          </w:p>
        </w:tc>
        <w:tc>
          <w:tcPr>
            <w:tcW w:w="0" w:type="auto"/>
            <w:tcBorders>
              <w:top w:val="nil"/>
              <w:left w:val="nil"/>
              <w:bottom w:val="single" w:sz="6" w:space="0" w:color="999999"/>
              <w:right w:val="nil"/>
            </w:tcBorders>
            <w:shd w:val="clear" w:color="auto" w:fill="FFFFFF"/>
            <w:hideMark/>
          </w:tcPr>
          <w:p w14:paraId="52176C4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$5 per dose</w:t>
            </w:r>
          </w:p>
        </w:tc>
      </w:tr>
    </w:tbl>
    <w:p w14:paraId="2BD7F0D3" w14:textId="77777777" w:rsidR="008F391D" w:rsidRDefault="008F391D" w:rsidP="008F391D">
      <w:pPr>
        <w:spacing w:line="315" w:lineRule="exact"/>
        <w:rPr>
          <w:rFonts w:ascii="Arial" w:eastAsia="Times New Roman" w:hAnsi="Arial" w:cs="Arial"/>
          <w:vanish/>
          <w:color w:val="221F20"/>
          <w:sz w:val="21"/>
          <w:szCs w:val="21"/>
        </w:rPr>
      </w:pPr>
    </w:p>
    <w:tbl>
      <w:tblPr>
        <w:tblW w:w="10350" w:type="dxa"/>
        <w:shd w:val="clear" w:color="auto" w:fill="FFFFFF"/>
        <w:tblCellMar>
          <w:left w:w="0" w:type="dxa"/>
          <w:right w:w="0" w:type="dxa"/>
        </w:tblCellMar>
        <w:tblLook w:val="04A0" w:firstRow="1" w:lastRow="0" w:firstColumn="1" w:lastColumn="0" w:noHBand="0" w:noVBand="1"/>
      </w:tblPr>
      <w:tblGrid>
        <w:gridCol w:w="10350"/>
      </w:tblGrid>
      <w:tr w:rsidR="008F391D" w14:paraId="79324537" w14:textId="77777777" w:rsidTr="008F391D">
        <w:tc>
          <w:tcPr>
            <w:tcW w:w="90" w:type="dxa"/>
            <w:shd w:val="clear" w:color="auto" w:fill="FFFFFF"/>
            <w:vAlign w:val="center"/>
            <w:hideMark/>
          </w:tcPr>
          <w:p w14:paraId="163E904B" w14:textId="206CD588" w:rsidR="008F391D" w:rsidRDefault="008F391D">
            <w:pPr>
              <w:spacing w:line="0" w:lineRule="atLeast"/>
              <w:rPr>
                <w:rFonts w:ascii="Arial" w:eastAsia="Times New Roman" w:hAnsi="Arial" w:cs="Arial"/>
                <w:sz w:val="2"/>
                <w:szCs w:val="2"/>
              </w:rPr>
            </w:pPr>
            <w:r>
              <w:rPr>
                <w:rFonts w:ascii="Arial" w:eastAsia="Times New Roman" w:hAnsi="Arial" w:cs="Arial"/>
                <w:noProof/>
                <w:sz w:val="2"/>
                <w:szCs w:val="2"/>
              </w:rPr>
              <w:drawing>
                <wp:inline distT="0" distB="0" distL="0" distR="0" wp14:anchorId="3F46B813" wp14:editId="0449DB40">
                  <wp:extent cx="57150" cy="5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8F391D" w14:paraId="5799C4B7" w14:textId="77777777" w:rsidTr="008F391D">
        <w:tc>
          <w:tcPr>
            <w:tcW w:w="90" w:type="dxa"/>
            <w:shd w:val="clear" w:color="auto" w:fill="FFFFFF"/>
            <w:vAlign w:val="center"/>
            <w:hideMark/>
          </w:tcPr>
          <w:p w14:paraId="1896431F" w14:textId="77777777" w:rsidR="008F391D" w:rsidRDefault="008F391D">
            <w:pPr>
              <w:spacing w:before="15" w:line="285" w:lineRule="exact"/>
              <w:rPr>
                <w:rFonts w:ascii="Arial" w:eastAsia="Times New Roman" w:hAnsi="Arial" w:cs="Arial"/>
                <w:color w:val="221F20"/>
                <w:sz w:val="18"/>
                <w:szCs w:val="18"/>
              </w:rPr>
            </w:pPr>
            <w:r>
              <w:rPr>
                <w:rStyle w:val="Emphasis"/>
                <w:rFonts w:ascii="Arial" w:eastAsia="Times New Roman" w:hAnsi="Arial" w:cs="Arial"/>
                <w:color w:val="221F20"/>
                <w:sz w:val="18"/>
                <w:szCs w:val="18"/>
              </w:rPr>
              <w:t>* For clarity, only one rebate will be paid, if earned; a health system will not qualify for both growth rebates above. Flublok Rebate is measured on purchases between Jan. 1, 2024, and Dec. 31, 2024.</w:t>
            </w:r>
          </w:p>
        </w:tc>
      </w:tr>
    </w:tbl>
    <w:p w14:paraId="411C931F"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r>
      <w:r>
        <w:rPr>
          <w:rStyle w:val="Strong"/>
          <w:rFonts w:ascii="Arial" w:eastAsia="Times New Roman" w:hAnsi="Arial" w:cs="Arial"/>
          <w:color w:val="221F20"/>
          <w:sz w:val="21"/>
          <w:szCs w:val="21"/>
        </w:rPr>
        <w:t>Shipping commitment timelines for options 1, 2 and 3</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1870"/>
        <w:gridCol w:w="4240"/>
        <w:gridCol w:w="4240"/>
      </w:tblGrid>
      <w:tr w:rsidR="008F391D" w14:paraId="7301AF3D" w14:textId="77777777" w:rsidTr="008F391D">
        <w:tc>
          <w:tcPr>
            <w:tcW w:w="0" w:type="auto"/>
            <w:tcBorders>
              <w:top w:val="nil"/>
              <w:left w:val="nil"/>
              <w:bottom w:val="single" w:sz="18" w:space="0" w:color="FF4E00"/>
              <w:right w:val="nil"/>
            </w:tcBorders>
            <w:shd w:val="clear" w:color="auto" w:fill="FFFFFF"/>
            <w:vAlign w:val="bottom"/>
            <w:hideMark/>
          </w:tcPr>
          <w:p w14:paraId="0044E2A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Shipping Commitment</w:t>
            </w:r>
          </w:p>
        </w:tc>
        <w:tc>
          <w:tcPr>
            <w:tcW w:w="0" w:type="auto"/>
            <w:tcBorders>
              <w:top w:val="nil"/>
              <w:left w:val="nil"/>
              <w:bottom w:val="single" w:sz="18" w:space="0" w:color="FF4E00"/>
              <w:right w:val="nil"/>
            </w:tcBorders>
            <w:shd w:val="clear" w:color="auto" w:fill="FFFFFF"/>
            <w:vAlign w:val="bottom"/>
            <w:hideMark/>
          </w:tcPr>
          <w:p w14:paraId="6DB80B10"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Option 1</w:t>
            </w:r>
            <w:r>
              <w:rPr>
                <w:rFonts w:ascii="Arial" w:eastAsia="Times New Roman" w:hAnsi="Arial" w:cs="Arial"/>
                <w:color w:val="FF4E00"/>
                <w:sz w:val="21"/>
                <w:szCs w:val="21"/>
              </w:rPr>
              <w:br/>
              <w:t>Shipping commitment timelines and percentages of total confirmed influenza vaccine reservation by March 31</w:t>
            </w:r>
          </w:p>
        </w:tc>
        <w:tc>
          <w:tcPr>
            <w:tcW w:w="0" w:type="auto"/>
            <w:tcBorders>
              <w:top w:val="nil"/>
              <w:left w:val="nil"/>
              <w:bottom w:val="single" w:sz="18" w:space="0" w:color="FF4E00"/>
              <w:right w:val="nil"/>
            </w:tcBorders>
            <w:shd w:val="clear" w:color="auto" w:fill="FFFFFF"/>
            <w:vAlign w:val="bottom"/>
            <w:hideMark/>
          </w:tcPr>
          <w:p w14:paraId="488D6252"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Option 2 &amp; 3</w:t>
            </w:r>
            <w:r>
              <w:rPr>
                <w:rFonts w:ascii="Arial" w:eastAsia="Times New Roman" w:hAnsi="Arial" w:cs="Arial"/>
                <w:color w:val="FF4E00"/>
                <w:sz w:val="21"/>
                <w:szCs w:val="21"/>
              </w:rPr>
              <w:br/>
              <w:t>Shipping commitment timelines and percentages of total confirmed influenza vaccine reservation by March 31</w:t>
            </w:r>
          </w:p>
        </w:tc>
      </w:tr>
      <w:tr w:rsidR="008F391D" w14:paraId="38973313" w14:textId="77777777" w:rsidTr="008F391D">
        <w:tc>
          <w:tcPr>
            <w:tcW w:w="0" w:type="auto"/>
            <w:tcBorders>
              <w:top w:val="nil"/>
              <w:left w:val="nil"/>
              <w:bottom w:val="single" w:sz="6" w:space="0" w:color="999999"/>
              <w:right w:val="nil"/>
            </w:tcBorders>
            <w:shd w:val="clear" w:color="auto" w:fill="FFFFFF"/>
            <w:hideMark/>
          </w:tcPr>
          <w:p w14:paraId="22ACB3FE" w14:textId="77777777" w:rsidR="008F391D" w:rsidRDefault="008F391D">
            <w:pPr>
              <w:spacing w:before="15" w:line="285" w:lineRule="exact"/>
              <w:rPr>
                <w:rFonts w:ascii="Arial" w:eastAsia="Times New Roman" w:hAnsi="Arial" w:cs="Arial"/>
                <w:color w:val="221F20"/>
                <w:sz w:val="18"/>
                <w:szCs w:val="18"/>
              </w:rPr>
            </w:pPr>
            <w:r>
              <w:rPr>
                <w:rStyle w:val="Strong"/>
                <w:rFonts w:ascii="Arial" w:eastAsia="Times New Roman" w:hAnsi="Arial" w:cs="Arial"/>
                <w:color w:val="221F20"/>
                <w:sz w:val="18"/>
                <w:szCs w:val="18"/>
              </w:rPr>
              <w:t>Fluzone High-Dose and Flublok</w:t>
            </w:r>
          </w:p>
        </w:tc>
        <w:tc>
          <w:tcPr>
            <w:tcW w:w="0" w:type="auto"/>
            <w:tcBorders>
              <w:top w:val="nil"/>
              <w:left w:val="nil"/>
              <w:bottom w:val="single" w:sz="6" w:space="0" w:color="999999"/>
              <w:right w:val="nil"/>
            </w:tcBorders>
            <w:shd w:val="clear" w:color="auto" w:fill="FFFFFF"/>
            <w:hideMark/>
          </w:tcPr>
          <w:p w14:paraId="5681E26D"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Aug. 31 – 25% of doses shipped</w:t>
            </w:r>
            <w:r>
              <w:rPr>
                <w:rFonts w:ascii="Arial" w:eastAsia="Times New Roman" w:hAnsi="Arial" w:cs="Arial"/>
                <w:color w:val="221F20"/>
                <w:sz w:val="18"/>
                <w:szCs w:val="18"/>
              </w:rPr>
              <w:br/>
              <w:t>Sept. 30 – 75% of doses shipped</w:t>
            </w:r>
            <w:r>
              <w:rPr>
                <w:rFonts w:ascii="Arial" w:eastAsia="Times New Roman" w:hAnsi="Arial" w:cs="Arial"/>
                <w:color w:val="221F20"/>
                <w:sz w:val="18"/>
                <w:szCs w:val="18"/>
              </w:rPr>
              <w:br/>
              <w:t>Oct. 31 – 100% of doses shipped</w:t>
            </w:r>
          </w:p>
        </w:tc>
        <w:tc>
          <w:tcPr>
            <w:tcW w:w="0" w:type="auto"/>
            <w:tcBorders>
              <w:top w:val="nil"/>
              <w:left w:val="nil"/>
              <w:bottom w:val="single" w:sz="6" w:space="0" w:color="999999"/>
              <w:right w:val="nil"/>
            </w:tcBorders>
            <w:shd w:val="clear" w:color="auto" w:fill="FFFFFF"/>
            <w:hideMark/>
          </w:tcPr>
          <w:p w14:paraId="4FD8508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br/>
              <w:t>Sept. 30 – 75% of doses shipped</w:t>
            </w:r>
            <w:r>
              <w:rPr>
                <w:rFonts w:ascii="Arial" w:eastAsia="Times New Roman" w:hAnsi="Arial" w:cs="Arial"/>
                <w:color w:val="221F20"/>
                <w:sz w:val="18"/>
                <w:szCs w:val="18"/>
              </w:rPr>
              <w:br/>
              <w:t>Oct. 31 – 100% of doses shipped</w:t>
            </w:r>
          </w:p>
        </w:tc>
      </w:tr>
      <w:tr w:rsidR="008F391D" w14:paraId="569905CE" w14:textId="77777777" w:rsidTr="008F391D">
        <w:tc>
          <w:tcPr>
            <w:tcW w:w="0" w:type="auto"/>
            <w:tcBorders>
              <w:top w:val="nil"/>
              <w:left w:val="nil"/>
              <w:bottom w:val="single" w:sz="6" w:space="0" w:color="999999"/>
              <w:right w:val="nil"/>
            </w:tcBorders>
            <w:shd w:val="clear" w:color="auto" w:fill="FFFFFF"/>
            <w:hideMark/>
          </w:tcPr>
          <w:p w14:paraId="1B8F316D" w14:textId="77777777" w:rsidR="008F391D" w:rsidRDefault="008F391D">
            <w:pPr>
              <w:spacing w:before="15" w:line="285" w:lineRule="exact"/>
              <w:rPr>
                <w:rFonts w:ascii="Arial" w:eastAsia="Times New Roman" w:hAnsi="Arial" w:cs="Arial"/>
                <w:color w:val="221F20"/>
                <w:sz w:val="18"/>
                <w:szCs w:val="18"/>
              </w:rPr>
            </w:pPr>
            <w:r>
              <w:rPr>
                <w:rStyle w:val="Strong"/>
                <w:rFonts w:ascii="Arial" w:eastAsia="Times New Roman" w:hAnsi="Arial" w:cs="Arial"/>
                <w:color w:val="221F20"/>
                <w:sz w:val="18"/>
                <w:szCs w:val="18"/>
              </w:rPr>
              <w:t>Other Fluzone presentations</w:t>
            </w:r>
          </w:p>
        </w:tc>
        <w:tc>
          <w:tcPr>
            <w:tcW w:w="0" w:type="auto"/>
            <w:tcBorders>
              <w:top w:val="nil"/>
              <w:left w:val="nil"/>
              <w:bottom w:val="single" w:sz="6" w:space="0" w:color="999999"/>
              <w:right w:val="nil"/>
            </w:tcBorders>
            <w:shd w:val="clear" w:color="auto" w:fill="FFFFFF"/>
            <w:hideMark/>
          </w:tcPr>
          <w:p w14:paraId="5F67EE0D"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Aug. 31 – 25% of doses shipped</w:t>
            </w:r>
            <w:r>
              <w:rPr>
                <w:rFonts w:ascii="Arial" w:eastAsia="Times New Roman" w:hAnsi="Arial" w:cs="Arial"/>
                <w:color w:val="221F20"/>
                <w:sz w:val="18"/>
                <w:szCs w:val="18"/>
              </w:rPr>
              <w:br/>
              <w:t>Sept. 30 – 60% of doses shipped</w:t>
            </w:r>
            <w:r>
              <w:rPr>
                <w:rFonts w:ascii="Arial" w:eastAsia="Times New Roman" w:hAnsi="Arial" w:cs="Arial"/>
                <w:color w:val="221F20"/>
                <w:sz w:val="18"/>
                <w:szCs w:val="18"/>
              </w:rPr>
              <w:br/>
              <w:t>Oct. 31 – 100% of doses shipped</w:t>
            </w:r>
          </w:p>
        </w:tc>
        <w:tc>
          <w:tcPr>
            <w:tcW w:w="0" w:type="auto"/>
            <w:tcBorders>
              <w:top w:val="nil"/>
              <w:left w:val="nil"/>
              <w:bottom w:val="single" w:sz="6" w:space="0" w:color="999999"/>
              <w:right w:val="nil"/>
            </w:tcBorders>
            <w:shd w:val="clear" w:color="auto" w:fill="FFFFFF"/>
            <w:hideMark/>
          </w:tcPr>
          <w:p w14:paraId="31243F3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br/>
              <w:t>Sept. 30 – 60% of doses shipped</w:t>
            </w:r>
            <w:r>
              <w:rPr>
                <w:rFonts w:ascii="Arial" w:eastAsia="Times New Roman" w:hAnsi="Arial" w:cs="Arial"/>
                <w:color w:val="221F20"/>
                <w:sz w:val="18"/>
                <w:szCs w:val="18"/>
              </w:rPr>
              <w:br/>
              <w:t>Oct. 31 – 100% of doses shipped</w:t>
            </w:r>
          </w:p>
        </w:tc>
      </w:tr>
    </w:tbl>
    <w:p w14:paraId="478082DB"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r>
      <w:r>
        <w:rPr>
          <w:rStyle w:val="Strong"/>
          <w:rFonts w:ascii="Arial" w:eastAsia="Times New Roman" w:hAnsi="Arial" w:cs="Arial"/>
          <w:color w:val="221F20"/>
          <w:sz w:val="21"/>
          <w:szCs w:val="21"/>
        </w:rPr>
        <w:t>Sanofi Pasteur Fluzone and Flublok returns:</w:t>
      </w:r>
      <w:r>
        <w:rPr>
          <w:rFonts w:ascii="Arial" w:eastAsia="Times New Roman" w:hAnsi="Arial" w:cs="Arial"/>
          <w:color w:val="221F20"/>
          <w:sz w:val="21"/>
          <w:szCs w:val="21"/>
        </w:rPr>
        <w:br/>
        <w:t>For direct purchases from Sanofi Pasteur for the 2024/25 influenza season ONLY, members may return a limited number of unused and expired doses for credit toward future purchases of influenza vaccine as follows:</w:t>
      </w:r>
    </w:p>
    <w:tbl>
      <w:tblPr>
        <w:tblW w:w="10350" w:type="dxa"/>
        <w:tblCellMar>
          <w:top w:w="40" w:type="dxa"/>
          <w:left w:w="40" w:type="dxa"/>
          <w:bottom w:w="40" w:type="dxa"/>
          <w:right w:w="40" w:type="dxa"/>
        </w:tblCellMar>
        <w:tblLook w:val="04A0" w:firstRow="1" w:lastRow="0" w:firstColumn="1" w:lastColumn="0" w:noHBand="0" w:noVBand="1"/>
      </w:tblPr>
      <w:tblGrid>
        <w:gridCol w:w="158"/>
        <w:gridCol w:w="10192"/>
      </w:tblGrid>
      <w:tr w:rsidR="008F391D" w14:paraId="10B59188" w14:textId="77777777" w:rsidTr="008F391D">
        <w:tc>
          <w:tcPr>
            <w:tcW w:w="150" w:type="dxa"/>
            <w:hideMark/>
          </w:tcPr>
          <w:p w14:paraId="2828EF4A"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4570BAA8"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15% of each presentation of Influenza vaccine shipped during the 2024-2025 influenza season may be returned for full credit.</w:t>
            </w:r>
          </w:p>
        </w:tc>
      </w:tr>
      <w:tr w:rsidR="008F391D" w14:paraId="39BDBC16" w14:textId="77777777" w:rsidTr="008F391D">
        <w:tc>
          <w:tcPr>
            <w:tcW w:w="150" w:type="dxa"/>
            <w:hideMark/>
          </w:tcPr>
          <w:p w14:paraId="209CC15C"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38B2ADAE"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Credit can be applied to any future direct vaccine purchase from Sanofi Pasteur.</w:t>
            </w:r>
          </w:p>
        </w:tc>
      </w:tr>
      <w:tr w:rsidR="008F391D" w14:paraId="5BAD96E2" w14:textId="77777777" w:rsidTr="008F391D">
        <w:tc>
          <w:tcPr>
            <w:tcW w:w="150" w:type="dxa"/>
            <w:hideMark/>
          </w:tcPr>
          <w:p w14:paraId="3EE56398"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012AA2A0"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Expired influenza vaccine returns are accepted beginning after May 1, 2025, and must be made by July 31, 2025.</w:t>
            </w:r>
          </w:p>
        </w:tc>
      </w:tr>
    </w:tbl>
    <w:p w14:paraId="2D82563D" w14:textId="77777777" w:rsidR="008F391D" w:rsidRDefault="008F391D" w:rsidP="008F391D">
      <w:pPr>
        <w:spacing w:before="15" w:after="240" w:line="315" w:lineRule="exact"/>
        <w:rPr>
          <w:rFonts w:ascii="Arial" w:eastAsia="Times New Roman" w:hAnsi="Arial" w:cs="Arial"/>
          <w:color w:val="221F20"/>
          <w:sz w:val="21"/>
          <w:szCs w:val="21"/>
        </w:rPr>
      </w:pPr>
      <w:r>
        <w:rPr>
          <w:rFonts w:ascii="Arial" w:eastAsia="Times New Roman" w:hAnsi="Arial" w:cs="Arial"/>
          <w:color w:val="221F20"/>
          <w:sz w:val="21"/>
          <w:szCs w:val="21"/>
        </w:rPr>
        <w:lastRenderedPageBreak/>
        <w:br/>
      </w:r>
      <w:r>
        <w:rPr>
          <w:rStyle w:val="Strong"/>
          <w:rFonts w:ascii="Arial" w:eastAsia="Times New Roman" w:hAnsi="Arial" w:cs="Arial"/>
          <w:color w:val="221F20"/>
          <w:sz w:val="21"/>
          <w:szCs w:val="21"/>
        </w:rPr>
        <w:t>Sanofi Pasteur's Failure To Meet Shipping Commitment:</w:t>
      </w:r>
      <w:r>
        <w:rPr>
          <w:rFonts w:ascii="Arial" w:eastAsia="Times New Roman" w:hAnsi="Arial" w:cs="Arial"/>
          <w:color w:val="221F20"/>
          <w:sz w:val="21"/>
          <w:szCs w:val="21"/>
        </w:rPr>
        <w:br/>
        <w:t>If Sanofi Pasteur does not meet the minimum shipping percentages, and the member purchases a competitor's injectable influenza vaccine at a price greater than the price set forth in 2024-2025 Influenza Vaccine Specific Terms and Conditions, then Sanofi Pasteur will issue a credit of $1 per dose for every competitor's injectable dose purchased, up to the amount of the influenza vaccine committed doses not shipped per shipping commitment timelines. Any such purchases must be executed within 10 days of the date(s) committed by Sanofi Pasteur. This credit shall be the sole and exclusive remedy to members. The credit issued may only be applied to a future purchase by the member of Sanofi Pasteur influenza products. All claims for shipping commitment credit, together with appropriate documentation (proof of purchase), must be received by Sanofi Pasteur, no later than Dec. 1, 2024. These shipping commitment percentages and failure-to-supply credits only apply for orders made directly with Sanofi Pasteur. Orders placed indirectly with Authorized Distributors are subject to specific delivery terms set by the distributor.</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To place a direct order:</w:t>
      </w:r>
      <w:r>
        <w:rPr>
          <w:rFonts w:ascii="Arial" w:eastAsia="Times New Roman" w:hAnsi="Arial" w:cs="Arial"/>
          <w:b/>
          <w:bCs/>
          <w:color w:val="221F20"/>
          <w:sz w:val="21"/>
          <w:szCs w:val="21"/>
        </w:rPr>
        <w:br/>
      </w:r>
      <w:r>
        <w:rPr>
          <w:rFonts w:ascii="Arial" w:eastAsia="Times New Roman" w:hAnsi="Arial" w:cs="Arial"/>
          <w:b/>
          <w:bCs/>
          <w:color w:val="221F20"/>
          <w:sz w:val="21"/>
          <w:szCs w:val="21"/>
        </w:rPr>
        <w:br/>
      </w:r>
      <w:r>
        <w:rPr>
          <w:rStyle w:val="Strong"/>
          <w:rFonts w:ascii="Arial" w:eastAsia="Times New Roman" w:hAnsi="Arial" w:cs="Arial"/>
          <w:color w:val="221F20"/>
          <w:sz w:val="21"/>
          <w:szCs w:val="21"/>
        </w:rPr>
        <w:t>By phone: 800-VACCINE (822-2463) (1% discount applied to web-ordering not available when ordered by phone)</w:t>
      </w:r>
      <w:r>
        <w:rPr>
          <w:rFonts w:ascii="Arial" w:eastAsia="Times New Roman" w:hAnsi="Arial" w:cs="Arial"/>
          <w:b/>
          <w:bCs/>
          <w:color w:val="221F20"/>
          <w:sz w:val="21"/>
          <w:szCs w:val="21"/>
        </w:rPr>
        <w:br/>
      </w:r>
      <w:r>
        <w:rPr>
          <w:rFonts w:ascii="Arial" w:eastAsia="Times New Roman" w:hAnsi="Arial" w:cs="Arial"/>
          <w:b/>
          <w:bCs/>
          <w:color w:val="221F20"/>
          <w:sz w:val="21"/>
          <w:szCs w:val="21"/>
        </w:rPr>
        <w:br/>
      </w:r>
      <w:r>
        <w:rPr>
          <w:rStyle w:val="Strong"/>
          <w:rFonts w:ascii="Arial" w:eastAsia="Times New Roman" w:hAnsi="Arial" w:cs="Arial"/>
          <w:color w:val="221F20"/>
          <w:sz w:val="21"/>
          <w:szCs w:val="21"/>
        </w:rPr>
        <w:t>Online:</w:t>
      </w:r>
      <w:r>
        <w:rPr>
          <w:rFonts w:ascii="Arial" w:eastAsia="Times New Roman" w:hAnsi="Arial" w:cs="Arial"/>
          <w:color w:val="221F20"/>
          <w:sz w:val="21"/>
          <w:szCs w:val="21"/>
        </w:rPr>
        <w:t xml:space="preserve"> </w:t>
      </w:r>
      <w:hyperlink r:id="rId18" w:history="1">
        <w:r>
          <w:rPr>
            <w:rStyle w:val="Hyperlink"/>
            <w:rFonts w:ascii="Arial" w:eastAsia="Times New Roman" w:hAnsi="Arial" w:cs="Arial"/>
            <w:sz w:val="21"/>
            <w:szCs w:val="21"/>
          </w:rPr>
          <w:t>vaccineshoppe.com</w:t>
        </w:r>
      </w:hyperlink>
      <w:r>
        <w:rPr>
          <w:rFonts w:ascii="Arial" w:eastAsia="Times New Roman" w:hAnsi="Arial" w:cs="Arial"/>
          <w:color w:val="221F20"/>
          <w:sz w:val="21"/>
          <w:szCs w:val="21"/>
        </w:rPr>
        <w:br/>
      </w:r>
      <w:r>
        <w:rPr>
          <w:rFonts w:ascii="Arial" w:eastAsia="Times New Roman" w:hAnsi="Arial" w:cs="Arial"/>
          <w:color w:val="221F20"/>
          <w:sz w:val="21"/>
          <w:szCs w:val="21"/>
        </w:rPr>
        <w:br/>
        <w:t xml:space="preserve">For more information, contact </w:t>
      </w:r>
      <w:hyperlink r:id="rId19" w:history="1">
        <w:r>
          <w:rPr>
            <w:rStyle w:val="Hyperlink"/>
            <w:rFonts w:ascii="Arial" w:eastAsia="Times New Roman" w:hAnsi="Arial" w:cs="Arial"/>
            <w:sz w:val="21"/>
            <w:szCs w:val="21"/>
          </w:rPr>
          <w:t>Jacob Salmon</w:t>
        </w:r>
      </w:hyperlink>
      <w:r>
        <w:rPr>
          <w:rFonts w:ascii="Arial" w:eastAsia="Times New Roman" w:hAnsi="Arial" w:cs="Arial"/>
          <w:color w:val="221F20"/>
          <w:sz w:val="21"/>
          <w:szCs w:val="21"/>
        </w:rPr>
        <w:t xml:space="preserve">, Vizient portfolio executive, at (214) 574-3330; or </w:t>
      </w:r>
      <w:hyperlink r:id="rId20" w:history="1">
        <w:r>
          <w:rPr>
            <w:rStyle w:val="Hyperlink"/>
            <w:rFonts w:ascii="Arial" w:eastAsia="Times New Roman" w:hAnsi="Arial" w:cs="Arial"/>
            <w:sz w:val="21"/>
            <w:szCs w:val="21"/>
          </w:rPr>
          <w:t>Kelley Charlton</w:t>
        </w:r>
      </w:hyperlink>
      <w:r>
        <w:rPr>
          <w:rFonts w:ascii="Arial" w:eastAsia="Times New Roman" w:hAnsi="Arial" w:cs="Arial"/>
          <w:color w:val="221F20"/>
          <w:sz w:val="21"/>
          <w:szCs w:val="21"/>
        </w:rPr>
        <w:t>, Sanofi Pasteur director, at (817) 371-6959.</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Emphasis"/>
          <w:rFonts w:ascii="Arial" w:eastAsia="Times New Roman" w:hAnsi="Arial" w:cs="Arial"/>
          <w:color w:val="221F20"/>
          <w:sz w:val="21"/>
          <w:szCs w:val="21"/>
        </w:rPr>
        <w:t>Classes of Trade: Acute Care, Long-Term Care, Ambulatory Care, Home Health Care, Physician Offices/Clinics, Staff Model HMO</w:t>
      </w:r>
    </w:p>
    <w:tbl>
      <w:tblPr>
        <w:tblW w:w="0" w:type="auto"/>
        <w:tblCellMar>
          <w:left w:w="0" w:type="dxa"/>
          <w:right w:w="0" w:type="dxa"/>
        </w:tblCellMar>
        <w:tblLook w:val="04A0" w:firstRow="1" w:lastRow="0" w:firstColumn="1" w:lastColumn="0" w:noHBand="0" w:noVBand="1"/>
      </w:tblPr>
      <w:tblGrid>
        <w:gridCol w:w="901"/>
        <w:gridCol w:w="300"/>
      </w:tblGrid>
      <w:tr w:rsidR="008F391D" w14:paraId="2B0FE20C" w14:textId="77777777" w:rsidTr="008F391D">
        <w:trPr>
          <w:trHeight w:val="210"/>
        </w:trPr>
        <w:tc>
          <w:tcPr>
            <w:tcW w:w="0" w:type="auto"/>
            <w:shd w:val="clear" w:color="auto" w:fill="FFFFFF"/>
            <w:hideMark/>
          </w:tcPr>
          <w:p w14:paraId="7C3323F2" w14:textId="77777777" w:rsidR="008F391D" w:rsidRDefault="008F391D">
            <w:pPr>
              <w:spacing w:before="15" w:line="315" w:lineRule="exact"/>
              <w:rPr>
                <w:rFonts w:ascii="Arial" w:eastAsia="Times New Roman" w:hAnsi="Arial" w:cs="Arial"/>
                <w:color w:val="FF4E00"/>
                <w:sz w:val="18"/>
                <w:szCs w:val="18"/>
              </w:rPr>
            </w:pPr>
            <w:hyperlink w:anchor="emailtop" w:history="1">
              <w:r>
                <w:rPr>
                  <w:rStyle w:val="Hyperlink"/>
                  <w:rFonts w:ascii="Arial" w:eastAsia="Times New Roman" w:hAnsi="Arial" w:cs="Arial"/>
                  <w:sz w:val="18"/>
                  <w:szCs w:val="18"/>
                </w:rPr>
                <w:t>Back to top</w:t>
              </w:r>
            </w:hyperlink>
          </w:p>
        </w:tc>
        <w:tc>
          <w:tcPr>
            <w:tcW w:w="300" w:type="dxa"/>
            <w:shd w:val="clear" w:color="auto" w:fill="FFFFFF"/>
            <w:vAlign w:val="center"/>
            <w:hideMark/>
          </w:tcPr>
          <w:p w14:paraId="50F6E72F" w14:textId="1979FB4B" w:rsidR="008F391D" w:rsidRDefault="008F391D">
            <w:pPr>
              <w:spacing w:before="15" w:line="315" w:lineRule="exact"/>
              <w:jc w:val="right"/>
              <w:rPr>
                <w:rFonts w:ascii="Arial" w:eastAsia="Times New Roman" w:hAnsi="Arial" w:cs="Arial"/>
                <w:color w:val="FF4E00"/>
                <w:sz w:val="18"/>
                <w:szCs w:val="18"/>
              </w:rPr>
            </w:pPr>
            <w:r>
              <w:rPr>
                <w:rFonts w:ascii="Arial" w:eastAsia="Times New Roman" w:hAnsi="Arial" w:cs="Arial"/>
                <w:noProof/>
                <w:color w:val="FF4E00"/>
                <w:sz w:val="18"/>
                <w:szCs w:val="18"/>
              </w:rPr>
              <w:drawing>
                <wp:inline distT="0" distB="0" distL="0" distR="0" wp14:anchorId="17107850" wp14:editId="3E81ED50">
                  <wp:extent cx="101600" cy="95250"/>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95250"/>
                          </a:xfrm>
                          <a:prstGeom prst="rect">
                            <a:avLst/>
                          </a:prstGeom>
                          <a:noFill/>
                          <a:ln>
                            <a:noFill/>
                          </a:ln>
                        </pic:spPr>
                      </pic:pic>
                    </a:graphicData>
                  </a:graphic>
                </wp:inline>
              </w:drawing>
            </w:r>
          </w:p>
        </w:tc>
      </w:tr>
    </w:tbl>
    <w:p w14:paraId="1B5FB663" w14:textId="77777777" w:rsidR="008F391D" w:rsidRDefault="008F391D" w:rsidP="008F391D">
      <w:pPr>
        <w:spacing w:before="15" w:line="315" w:lineRule="exact"/>
        <w:rPr>
          <w:rFonts w:ascii="Arial" w:eastAsia="Times New Roman" w:hAnsi="Arial" w:cs="Arial"/>
          <w:color w:val="221F20"/>
          <w:sz w:val="21"/>
          <w:szCs w:val="21"/>
        </w:rPr>
      </w:pPr>
      <w:bookmarkStart w:id="2" w:name="Influenzavaccines3"/>
      <w:bookmarkEnd w:id="2"/>
      <w:r>
        <w:rPr>
          <w:rFonts w:ascii="Arial" w:eastAsia="Times New Roman" w:hAnsi="Arial" w:cs="Arial"/>
          <w:color w:val="221F20"/>
          <w:sz w:val="21"/>
          <w:szCs w:val="21"/>
        </w:rPr>
        <w:br/>
      </w:r>
      <w:r>
        <w:rPr>
          <w:rStyle w:val="Strong"/>
          <w:rFonts w:ascii="Arial" w:eastAsia="Times New Roman" w:hAnsi="Arial" w:cs="Arial"/>
          <w:color w:val="221F20"/>
          <w:sz w:val="21"/>
          <w:szCs w:val="21"/>
        </w:rPr>
        <w:t>Product addition: AstraZeneca FluMist Quadrivalent (RX80100)</w:t>
      </w:r>
      <w:r>
        <w:rPr>
          <w:rFonts w:ascii="Arial" w:eastAsia="Times New Roman" w:hAnsi="Arial" w:cs="Arial"/>
          <w:color w:val="221F20"/>
          <w:sz w:val="21"/>
          <w:szCs w:val="21"/>
        </w:rPr>
        <w:br/>
        <w:t>AstraZeneca is pleased to announce the addition of FluMist Quadrivalent (influenza vaccine live, intranasal) for the 2024-2025 season to RX80100, effective Dec. 1:</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1472"/>
        <w:gridCol w:w="3312"/>
        <w:gridCol w:w="881"/>
        <w:gridCol w:w="1152"/>
        <w:gridCol w:w="1697"/>
        <w:gridCol w:w="1836"/>
      </w:tblGrid>
      <w:tr w:rsidR="008F391D" w14:paraId="03E181DF" w14:textId="77777777" w:rsidTr="008F391D">
        <w:tc>
          <w:tcPr>
            <w:tcW w:w="1515" w:type="dxa"/>
            <w:tcBorders>
              <w:top w:val="nil"/>
              <w:left w:val="nil"/>
              <w:bottom w:val="single" w:sz="18" w:space="0" w:color="FF4E00"/>
              <w:right w:val="nil"/>
            </w:tcBorders>
            <w:shd w:val="clear" w:color="auto" w:fill="FFFFFF"/>
            <w:vAlign w:val="bottom"/>
            <w:hideMark/>
          </w:tcPr>
          <w:p w14:paraId="41E4A724"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NDC</w:t>
            </w:r>
          </w:p>
        </w:tc>
        <w:tc>
          <w:tcPr>
            <w:tcW w:w="2490" w:type="dxa"/>
            <w:tcBorders>
              <w:top w:val="nil"/>
              <w:left w:val="nil"/>
              <w:bottom w:val="single" w:sz="18" w:space="0" w:color="FF4E00"/>
              <w:right w:val="nil"/>
            </w:tcBorders>
            <w:shd w:val="clear" w:color="auto" w:fill="FFFFFF"/>
            <w:vAlign w:val="bottom"/>
            <w:hideMark/>
          </w:tcPr>
          <w:p w14:paraId="7BECEC3D"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Description</w:t>
            </w:r>
          </w:p>
        </w:tc>
        <w:tc>
          <w:tcPr>
            <w:tcW w:w="660" w:type="dxa"/>
            <w:tcBorders>
              <w:top w:val="nil"/>
              <w:left w:val="nil"/>
              <w:bottom w:val="single" w:sz="18" w:space="0" w:color="FF4E00"/>
              <w:right w:val="nil"/>
            </w:tcBorders>
            <w:shd w:val="clear" w:color="auto" w:fill="FFFFFF"/>
            <w:vAlign w:val="bottom"/>
            <w:hideMark/>
          </w:tcPr>
          <w:p w14:paraId="4B2FCA0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Size</w:t>
            </w:r>
          </w:p>
        </w:tc>
        <w:tc>
          <w:tcPr>
            <w:tcW w:w="915" w:type="dxa"/>
            <w:tcBorders>
              <w:top w:val="nil"/>
              <w:left w:val="nil"/>
              <w:bottom w:val="single" w:sz="18" w:space="0" w:color="FF4E00"/>
              <w:right w:val="nil"/>
            </w:tcBorders>
            <w:shd w:val="clear" w:color="auto" w:fill="FFFFFF"/>
            <w:vAlign w:val="bottom"/>
            <w:hideMark/>
          </w:tcPr>
          <w:p w14:paraId="03668813" w14:textId="77777777" w:rsidR="008F391D" w:rsidRDefault="008F391D">
            <w:pPr>
              <w:spacing w:before="15" w:line="315" w:lineRule="exact"/>
              <w:jc w:val="right"/>
              <w:rPr>
                <w:rFonts w:ascii="Arial" w:eastAsia="Times New Roman" w:hAnsi="Arial" w:cs="Arial"/>
                <w:color w:val="FF4E00"/>
                <w:sz w:val="21"/>
                <w:szCs w:val="21"/>
              </w:rPr>
            </w:pPr>
            <w:r>
              <w:rPr>
                <w:rFonts w:ascii="Arial" w:eastAsia="Times New Roman" w:hAnsi="Arial" w:cs="Arial"/>
                <w:color w:val="FF4E00"/>
                <w:sz w:val="21"/>
                <w:szCs w:val="21"/>
              </w:rPr>
              <w:t>List price</w:t>
            </w:r>
          </w:p>
        </w:tc>
        <w:tc>
          <w:tcPr>
            <w:tcW w:w="1425" w:type="dxa"/>
            <w:tcBorders>
              <w:top w:val="nil"/>
              <w:left w:val="nil"/>
              <w:bottom w:val="single" w:sz="18" w:space="0" w:color="FF4E00"/>
              <w:right w:val="nil"/>
            </w:tcBorders>
            <w:shd w:val="clear" w:color="auto" w:fill="FFFFFF"/>
            <w:vAlign w:val="bottom"/>
            <w:hideMark/>
          </w:tcPr>
          <w:p w14:paraId="0F7EFB5A"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Contract discount</w:t>
            </w:r>
          </w:p>
        </w:tc>
        <w:tc>
          <w:tcPr>
            <w:tcW w:w="1545" w:type="dxa"/>
            <w:tcBorders>
              <w:top w:val="nil"/>
              <w:left w:val="nil"/>
              <w:bottom w:val="single" w:sz="18" w:space="0" w:color="FF4E00"/>
              <w:right w:val="nil"/>
            </w:tcBorders>
            <w:shd w:val="clear" w:color="auto" w:fill="FFFFFF"/>
            <w:vAlign w:val="bottom"/>
            <w:hideMark/>
          </w:tcPr>
          <w:p w14:paraId="157D52E3"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Effective dates</w:t>
            </w:r>
          </w:p>
        </w:tc>
      </w:tr>
      <w:tr w:rsidR="008F391D" w14:paraId="65865C08" w14:textId="77777777" w:rsidTr="008F391D">
        <w:tc>
          <w:tcPr>
            <w:tcW w:w="0" w:type="auto"/>
            <w:tcBorders>
              <w:top w:val="nil"/>
              <w:left w:val="nil"/>
              <w:bottom w:val="single" w:sz="6" w:space="0" w:color="999999"/>
              <w:right w:val="nil"/>
            </w:tcBorders>
            <w:shd w:val="clear" w:color="auto" w:fill="FFFFFF"/>
            <w:noWrap/>
            <w:hideMark/>
          </w:tcPr>
          <w:p w14:paraId="7D3FEC59"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xml:space="preserve">66019-0311-10 </w:t>
            </w:r>
            <w:r>
              <w:rPr>
                <w:rFonts w:ascii="Arial" w:eastAsia="Times New Roman" w:hAnsi="Arial" w:cs="Arial"/>
                <w:color w:val="221F20"/>
                <w:sz w:val="18"/>
                <w:szCs w:val="18"/>
              </w:rPr>
              <w:br/>
              <w:t>(pending FDA</w:t>
            </w:r>
            <w:r>
              <w:rPr>
                <w:rFonts w:ascii="Arial" w:eastAsia="Times New Roman" w:hAnsi="Arial" w:cs="Arial"/>
                <w:color w:val="221F20"/>
                <w:sz w:val="18"/>
                <w:szCs w:val="18"/>
              </w:rPr>
              <w:br/>
              <w:t>approval)</w:t>
            </w:r>
          </w:p>
        </w:tc>
        <w:tc>
          <w:tcPr>
            <w:tcW w:w="0" w:type="auto"/>
            <w:tcBorders>
              <w:top w:val="nil"/>
              <w:left w:val="nil"/>
              <w:bottom w:val="single" w:sz="6" w:space="0" w:color="999999"/>
              <w:right w:val="nil"/>
            </w:tcBorders>
            <w:shd w:val="clear" w:color="auto" w:fill="FFFFFF"/>
            <w:hideMark/>
          </w:tcPr>
          <w:p w14:paraId="185B1635"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FluMist Quad 2024-2025 0.2 mL prefilled, single use sprayers</w:t>
            </w:r>
          </w:p>
        </w:tc>
        <w:tc>
          <w:tcPr>
            <w:tcW w:w="0" w:type="auto"/>
            <w:tcBorders>
              <w:top w:val="nil"/>
              <w:left w:val="nil"/>
              <w:bottom w:val="single" w:sz="6" w:space="0" w:color="999999"/>
              <w:right w:val="nil"/>
            </w:tcBorders>
            <w:shd w:val="clear" w:color="auto" w:fill="FFFFFF"/>
            <w:noWrap/>
            <w:hideMark/>
          </w:tcPr>
          <w:p w14:paraId="796FBD1A"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xml:space="preserve">10 x 1 </w:t>
            </w:r>
            <w:proofErr w:type="spellStart"/>
            <w:r>
              <w:rPr>
                <w:rFonts w:ascii="Arial" w:eastAsia="Times New Roman" w:hAnsi="Arial" w:cs="Arial"/>
                <w:color w:val="221F20"/>
                <w:sz w:val="18"/>
                <w:szCs w:val="18"/>
              </w:rPr>
              <w:t>ct</w:t>
            </w:r>
            <w:proofErr w:type="spellEnd"/>
          </w:p>
        </w:tc>
        <w:tc>
          <w:tcPr>
            <w:tcW w:w="0" w:type="auto"/>
            <w:tcBorders>
              <w:top w:val="nil"/>
              <w:left w:val="nil"/>
              <w:bottom w:val="single" w:sz="6" w:space="0" w:color="999999"/>
              <w:right w:val="nil"/>
            </w:tcBorders>
            <w:shd w:val="clear" w:color="auto" w:fill="FFFFFF"/>
            <w:hideMark/>
          </w:tcPr>
          <w:p w14:paraId="4EB68415" w14:textId="77777777" w:rsidR="008F391D" w:rsidRDefault="008F391D">
            <w:pPr>
              <w:spacing w:before="15" w:line="285" w:lineRule="exact"/>
              <w:jc w:val="right"/>
              <w:rPr>
                <w:rFonts w:ascii="Arial" w:eastAsia="Times New Roman" w:hAnsi="Arial" w:cs="Arial"/>
                <w:color w:val="221F20"/>
                <w:sz w:val="18"/>
                <w:szCs w:val="18"/>
              </w:rPr>
            </w:pPr>
            <w:r>
              <w:rPr>
                <w:rFonts w:ascii="Arial" w:eastAsia="Times New Roman" w:hAnsi="Arial" w:cs="Arial"/>
                <w:color w:val="221F20"/>
                <w:sz w:val="18"/>
                <w:szCs w:val="18"/>
              </w:rPr>
              <w:t>$24.70 per dose</w:t>
            </w:r>
          </w:p>
        </w:tc>
        <w:tc>
          <w:tcPr>
            <w:tcW w:w="0" w:type="auto"/>
            <w:tcBorders>
              <w:top w:val="nil"/>
              <w:left w:val="nil"/>
              <w:bottom w:val="single" w:sz="6" w:space="0" w:color="999999"/>
              <w:right w:val="nil"/>
            </w:tcBorders>
            <w:shd w:val="clear" w:color="auto" w:fill="FFFFFF"/>
            <w:hideMark/>
          </w:tcPr>
          <w:p w14:paraId="4AF5FA5C"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List price minus up to 14%</w:t>
            </w:r>
          </w:p>
        </w:tc>
        <w:tc>
          <w:tcPr>
            <w:tcW w:w="0" w:type="auto"/>
            <w:tcBorders>
              <w:top w:val="nil"/>
              <w:left w:val="nil"/>
              <w:bottom w:val="single" w:sz="6" w:space="0" w:color="999999"/>
              <w:right w:val="nil"/>
            </w:tcBorders>
            <w:shd w:val="clear" w:color="auto" w:fill="FFFFFF"/>
            <w:hideMark/>
          </w:tcPr>
          <w:p w14:paraId="5992885E"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Dec. 1, 2023 – June 30, 2025</w:t>
            </w:r>
          </w:p>
        </w:tc>
      </w:tr>
    </w:tbl>
    <w:p w14:paraId="6E858F99"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r>
      <w:r>
        <w:rPr>
          <w:rStyle w:val="Strong"/>
          <w:rFonts w:ascii="Arial" w:eastAsia="Times New Roman" w:hAnsi="Arial" w:cs="Arial"/>
          <w:color w:val="221F20"/>
          <w:sz w:val="21"/>
          <w:szCs w:val="21"/>
        </w:rPr>
        <w:t>Product Pricing Terms and Conditions:</w:t>
      </w:r>
      <w:r>
        <w:rPr>
          <w:rFonts w:ascii="Arial" w:eastAsia="Times New Roman" w:hAnsi="Arial" w:cs="Arial"/>
          <w:color w:val="221F20"/>
          <w:sz w:val="21"/>
          <w:szCs w:val="21"/>
        </w:rPr>
        <w:br/>
      </w:r>
      <w:r>
        <w:rPr>
          <w:rFonts w:ascii="Arial" w:eastAsia="Times New Roman" w:hAnsi="Arial" w:cs="Arial"/>
          <w:color w:val="221F20"/>
          <w:sz w:val="21"/>
          <w:szCs w:val="21"/>
        </w:rPr>
        <w:lastRenderedPageBreak/>
        <w:t>The price for product pricing will be determined by the date an order is placed by a member through an Authorized Distributor in conjunction with the chart listed below for the 2024-25 season:</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2914"/>
        <w:gridCol w:w="4140"/>
        <w:gridCol w:w="3296"/>
      </w:tblGrid>
      <w:tr w:rsidR="008F391D" w14:paraId="4227BD11" w14:textId="77777777" w:rsidTr="008F391D">
        <w:tc>
          <w:tcPr>
            <w:tcW w:w="0" w:type="auto"/>
            <w:tcBorders>
              <w:top w:val="nil"/>
              <w:left w:val="nil"/>
              <w:bottom w:val="single" w:sz="18" w:space="0" w:color="FF4E00"/>
              <w:right w:val="nil"/>
            </w:tcBorders>
            <w:shd w:val="clear" w:color="auto" w:fill="FFFFFF"/>
            <w:vAlign w:val="bottom"/>
            <w:hideMark/>
          </w:tcPr>
          <w:p w14:paraId="14E2C19E"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Date order is placed:</w:t>
            </w:r>
          </w:p>
        </w:tc>
        <w:tc>
          <w:tcPr>
            <w:tcW w:w="0" w:type="auto"/>
            <w:tcBorders>
              <w:top w:val="nil"/>
              <w:left w:val="nil"/>
              <w:bottom w:val="single" w:sz="18" w:space="0" w:color="FF4E00"/>
              <w:right w:val="nil"/>
            </w:tcBorders>
            <w:shd w:val="clear" w:color="auto" w:fill="FFFFFF"/>
            <w:vAlign w:val="bottom"/>
            <w:hideMark/>
          </w:tcPr>
          <w:p w14:paraId="5A2A8691"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Dec. 1, 2023, to April 30, 2024</w:t>
            </w:r>
          </w:p>
        </w:tc>
        <w:tc>
          <w:tcPr>
            <w:tcW w:w="0" w:type="auto"/>
            <w:tcBorders>
              <w:top w:val="nil"/>
              <w:left w:val="nil"/>
              <w:bottom w:val="single" w:sz="18" w:space="0" w:color="FF4E00"/>
              <w:right w:val="nil"/>
            </w:tcBorders>
            <w:shd w:val="clear" w:color="auto" w:fill="FFFFFF"/>
            <w:vAlign w:val="bottom"/>
            <w:hideMark/>
          </w:tcPr>
          <w:p w14:paraId="2C793D0C"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On or after May 1, 2024</w:t>
            </w:r>
          </w:p>
        </w:tc>
      </w:tr>
      <w:tr w:rsidR="008F391D" w14:paraId="2B06650B" w14:textId="77777777" w:rsidTr="008F391D">
        <w:tc>
          <w:tcPr>
            <w:tcW w:w="0" w:type="auto"/>
            <w:tcBorders>
              <w:top w:val="nil"/>
              <w:left w:val="nil"/>
              <w:bottom w:val="single" w:sz="6" w:space="0" w:color="999999"/>
              <w:right w:val="nil"/>
            </w:tcBorders>
            <w:shd w:val="clear" w:color="auto" w:fill="FFFFFF"/>
            <w:hideMark/>
          </w:tcPr>
          <w:p w14:paraId="098D088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Eligible discount:</w:t>
            </w:r>
          </w:p>
        </w:tc>
        <w:tc>
          <w:tcPr>
            <w:tcW w:w="0" w:type="auto"/>
            <w:tcBorders>
              <w:top w:val="nil"/>
              <w:left w:val="nil"/>
              <w:bottom w:val="single" w:sz="6" w:space="0" w:color="999999"/>
              <w:right w:val="nil"/>
            </w:tcBorders>
            <w:shd w:val="clear" w:color="auto" w:fill="FFFFFF"/>
            <w:hideMark/>
          </w:tcPr>
          <w:p w14:paraId="028BC961"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14% discount off list price</w:t>
            </w:r>
            <w:r>
              <w:rPr>
                <w:rFonts w:ascii="Arial" w:eastAsia="Times New Roman" w:hAnsi="Arial" w:cs="Arial"/>
                <w:color w:val="221F20"/>
                <w:sz w:val="18"/>
                <w:szCs w:val="18"/>
              </w:rPr>
              <w:br/>
              <w:t>(e.g., $21.24 per dose)</w:t>
            </w:r>
          </w:p>
        </w:tc>
        <w:tc>
          <w:tcPr>
            <w:tcW w:w="0" w:type="auto"/>
            <w:tcBorders>
              <w:top w:val="nil"/>
              <w:left w:val="nil"/>
              <w:bottom w:val="single" w:sz="6" w:space="0" w:color="999999"/>
              <w:right w:val="nil"/>
            </w:tcBorders>
            <w:shd w:val="clear" w:color="auto" w:fill="FFFFFF"/>
            <w:hideMark/>
          </w:tcPr>
          <w:p w14:paraId="47B94E87"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5% discount off list price</w:t>
            </w:r>
            <w:r>
              <w:rPr>
                <w:rFonts w:ascii="Arial" w:eastAsia="Times New Roman" w:hAnsi="Arial" w:cs="Arial"/>
                <w:color w:val="221F20"/>
                <w:sz w:val="18"/>
                <w:szCs w:val="18"/>
              </w:rPr>
              <w:br/>
              <w:t>(e.g., $23.46 per dose)</w:t>
            </w:r>
          </w:p>
        </w:tc>
      </w:tr>
    </w:tbl>
    <w:p w14:paraId="2F5F12DD"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 xml:space="preserve">List price is exclusive of federal, </w:t>
      </w:r>
      <w:proofErr w:type="gramStart"/>
      <w:r>
        <w:rPr>
          <w:rFonts w:ascii="Arial" w:eastAsia="Times New Roman" w:hAnsi="Arial" w:cs="Arial"/>
          <w:color w:val="221F20"/>
          <w:sz w:val="21"/>
          <w:szCs w:val="21"/>
        </w:rPr>
        <w:t>state</w:t>
      </w:r>
      <w:proofErr w:type="gramEnd"/>
      <w:r>
        <w:rPr>
          <w:rFonts w:ascii="Arial" w:eastAsia="Times New Roman" w:hAnsi="Arial" w:cs="Arial"/>
          <w:color w:val="221F20"/>
          <w:sz w:val="21"/>
          <w:szCs w:val="21"/>
        </w:rPr>
        <w:t xml:space="preserve"> and local excise and other applicable taxes. List Price does not include the FET of 75 cents per dose.</w:t>
      </w:r>
      <w:r>
        <w:rPr>
          <w:rFonts w:ascii="Arial" w:eastAsia="Times New Roman" w:hAnsi="Arial" w:cs="Arial"/>
          <w:color w:val="221F20"/>
          <w:sz w:val="21"/>
          <w:szCs w:val="21"/>
        </w:rPr>
        <w:br/>
      </w:r>
      <w:r>
        <w:rPr>
          <w:rFonts w:ascii="Arial" w:eastAsia="Times New Roman" w:hAnsi="Arial" w:cs="Arial"/>
          <w:color w:val="221F20"/>
          <w:sz w:val="21"/>
          <w:szCs w:val="21"/>
        </w:rPr>
        <w:br/>
        <w:t>AstraZeneca reserves the right to change pricing without notice and limit order quantities. Authorized members will maintain their applicable eligible discount based on their initial date of order reference above based throughout the 2024-2025 Season.</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Replacement Program Terms and Conditions:</w:t>
      </w:r>
      <w:r>
        <w:rPr>
          <w:rFonts w:ascii="Arial" w:eastAsia="Times New Roman" w:hAnsi="Arial" w:cs="Arial"/>
          <w:color w:val="221F20"/>
          <w:sz w:val="21"/>
          <w:szCs w:val="21"/>
        </w:rPr>
        <w:br/>
      </w:r>
      <w:proofErr w:type="gramStart"/>
      <w:r>
        <w:rPr>
          <w:rFonts w:ascii="Arial" w:eastAsia="Times New Roman" w:hAnsi="Arial" w:cs="Arial"/>
          <w:color w:val="221F20"/>
          <w:sz w:val="21"/>
          <w:szCs w:val="21"/>
        </w:rPr>
        <w:t>All of</w:t>
      </w:r>
      <w:proofErr w:type="gramEnd"/>
      <w:r>
        <w:rPr>
          <w:rFonts w:ascii="Arial" w:eastAsia="Times New Roman" w:hAnsi="Arial" w:cs="Arial"/>
          <w:color w:val="221F20"/>
          <w:sz w:val="21"/>
          <w:szCs w:val="21"/>
        </w:rPr>
        <w:t xml:space="preserve"> the following criteria must be met for members to become eligible for the Replacement Program:</w:t>
      </w:r>
    </w:p>
    <w:tbl>
      <w:tblPr>
        <w:tblW w:w="10350" w:type="dxa"/>
        <w:tblCellMar>
          <w:top w:w="40" w:type="dxa"/>
          <w:left w:w="40" w:type="dxa"/>
          <w:bottom w:w="40" w:type="dxa"/>
          <w:right w:w="40" w:type="dxa"/>
        </w:tblCellMar>
        <w:tblLook w:val="04A0" w:firstRow="1" w:lastRow="0" w:firstColumn="1" w:lastColumn="0" w:noHBand="0" w:noVBand="1"/>
      </w:tblPr>
      <w:tblGrid>
        <w:gridCol w:w="158"/>
        <w:gridCol w:w="10192"/>
      </w:tblGrid>
      <w:tr w:rsidR="008F391D" w14:paraId="42550EC0" w14:textId="77777777" w:rsidTr="008F391D">
        <w:tc>
          <w:tcPr>
            <w:tcW w:w="150" w:type="dxa"/>
            <w:hideMark/>
          </w:tcPr>
          <w:p w14:paraId="6D638724"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1E446EA2"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Pre-book orders received on or before April 30, 2024.</w:t>
            </w:r>
          </w:p>
        </w:tc>
      </w:tr>
      <w:tr w:rsidR="008F391D" w14:paraId="3DDABF90" w14:textId="77777777" w:rsidTr="008F391D">
        <w:tc>
          <w:tcPr>
            <w:tcW w:w="150" w:type="dxa"/>
            <w:hideMark/>
          </w:tcPr>
          <w:p w14:paraId="5423A3AE"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764B326F"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There is a minimum purchase of 100 doses.</w:t>
            </w:r>
          </w:p>
        </w:tc>
      </w:tr>
      <w:tr w:rsidR="008F391D" w14:paraId="047C52F2" w14:textId="77777777" w:rsidTr="008F391D">
        <w:tc>
          <w:tcPr>
            <w:tcW w:w="150" w:type="dxa"/>
            <w:hideMark/>
          </w:tcPr>
          <w:p w14:paraId="0BF3DF3E"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25C7FE87"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Replaced product must expire on or before Jan. 31, 2025.</w:t>
            </w:r>
          </w:p>
        </w:tc>
      </w:tr>
      <w:tr w:rsidR="008F391D" w14:paraId="36485C86" w14:textId="77777777" w:rsidTr="008F391D">
        <w:tc>
          <w:tcPr>
            <w:tcW w:w="150" w:type="dxa"/>
            <w:hideMark/>
          </w:tcPr>
          <w:p w14:paraId="3086AF7C" w14:textId="77777777" w:rsidR="008F391D" w:rsidRDefault="008F391D">
            <w:pPr>
              <w:spacing w:before="15" w:line="315" w:lineRule="exact"/>
              <w:rPr>
                <w:rFonts w:ascii="Arial" w:eastAsia="Times New Roman" w:hAnsi="Arial" w:cs="Arial"/>
                <w:color w:val="221F20"/>
                <w:sz w:val="21"/>
                <w:szCs w:val="21"/>
              </w:rPr>
            </w:pPr>
            <w:r>
              <w:rPr>
                <w:rStyle w:val="Strong"/>
                <w:rFonts w:ascii="Arial" w:eastAsia="Times New Roman" w:hAnsi="Arial" w:cs="Arial"/>
                <w:color w:val="221F20"/>
                <w:sz w:val="21"/>
                <w:szCs w:val="21"/>
              </w:rPr>
              <w:t>•</w:t>
            </w:r>
          </w:p>
        </w:tc>
        <w:tc>
          <w:tcPr>
            <w:tcW w:w="9960" w:type="dxa"/>
            <w:hideMark/>
          </w:tcPr>
          <w:p w14:paraId="3A06E9E9"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Must notify Authorized Distributor of request to replace the eligible product no earlier than 15 days prior to the expiration date and no later than Feb. 4, 2025.</w:t>
            </w:r>
          </w:p>
        </w:tc>
      </w:tr>
    </w:tbl>
    <w:p w14:paraId="11124218"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t>Eligible members may only replace up to a maximum of 10% of product that it ordered and received by Dec. 31, 2024. Replacement amount will be rounded down to the nearest 10 dose count and only available while supplies last.</w:t>
      </w:r>
      <w:r>
        <w:rPr>
          <w:rFonts w:ascii="Arial" w:eastAsia="Times New Roman" w:hAnsi="Arial" w:cs="Arial"/>
          <w:color w:val="221F20"/>
          <w:sz w:val="21"/>
          <w:szCs w:val="21"/>
        </w:rPr>
        <w:br/>
      </w:r>
      <w:r>
        <w:rPr>
          <w:rFonts w:ascii="Arial" w:eastAsia="Times New Roman" w:hAnsi="Arial" w:cs="Arial"/>
          <w:color w:val="221F20"/>
          <w:sz w:val="21"/>
          <w:szCs w:val="21"/>
        </w:rPr>
        <w:br/>
        <w:t>Any claims for replacement of product must be in the form of multiples of 10 doses, unopened in original packaging.</w:t>
      </w:r>
      <w:r>
        <w:rPr>
          <w:rFonts w:ascii="Arial" w:eastAsia="Times New Roman" w:hAnsi="Arial" w:cs="Arial"/>
          <w:color w:val="221F20"/>
          <w:sz w:val="21"/>
          <w:szCs w:val="21"/>
        </w:rPr>
        <w:br/>
      </w:r>
      <w:r>
        <w:rPr>
          <w:rFonts w:ascii="Arial" w:eastAsia="Times New Roman" w:hAnsi="Arial" w:cs="Arial"/>
          <w:color w:val="221F20"/>
          <w:sz w:val="21"/>
          <w:szCs w:val="21"/>
        </w:rPr>
        <w:br/>
        <w:t>Eligible members are responsible for any associated return shipping costs in accordance with its Authorized Distributor's instructions.</w:t>
      </w:r>
      <w:r>
        <w:rPr>
          <w:rFonts w:ascii="Arial" w:eastAsia="Times New Roman" w:hAnsi="Arial" w:cs="Arial"/>
          <w:color w:val="221F20"/>
          <w:sz w:val="21"/>
          <w:szCs w:val="21"/>
        </w:rPr>
        <w:br/>
      </w:r>
      <w:r>
        <w:rPr>
          <w:rFonts w:ascii="Arial" w:eastAsia="Times New Roman" w:hAnsi="Arial" w:cs="Arial"/>
          <w:color w:val="221F20"/>
          <w:sz w:val="21"/>
          <w:szCs w:val="21"/>
        </w:rPr>
        <w:br/>
        <w:t>Replacement doses are not eligible for return.</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Strong"/>
          <w:rFonts w:ascii="Arial" w:eastAsia="Times New Roman" w:hAnsi="Arial" w:cs="Arial"/>
          <w:color w:val="221F20"/>
          <w:sz w:val="21"/>
          <w:szCs w:val="21"/>
        </w:rPr>
        <w:t>Return Program terms and conditions:</w:t>
      </w:r>
      <w:r>
        <w:rPr>
          <w:rFonts w:ascii="Arial" w:eastAsia="Times New Roman" w:hAnsi="Arial" w:cs="Arial"/>
          <w:color w:val="221F20"/>
          <w:sz w:val="21"/>
          <w:szCs w:val="21"/>
        </w:rPr>
        <w:br/>
        <w:t xml:space="preserve">Members may enroll in the FluMist Quadrivalent Recurring Reservations Program by signing the AstraZeneca Recurring Reservations Form. Participation in this program allows for the highest level of returnability of FluMist Quadrivalent. The recurring reservation program permits AstraZeneca to </w:t>
      </w:r>
      <w:r>
        <w:rPr>
          <w:rFonts w:ascii="Arial" w:eastAsia="Times New Roman" w:hAnsi="Arial" w:cs="Arial"/>
          <w:color w:val="221F20"/>
          <w:sz w:val="21"/>
          <w:szCs w:val="21"/>
        </w:rPr>
        <w:lastRenderedPageBreak/>
        <w:t xml:space="preserve">place the total quantity pre-booked the previous season with the chosen distributor, as a recurring order for the coming season unless notified otherwise in advance. The facility will be notified by its distributor of order confirmation prior to invoice and shipment. The facility may increase, </w:t>
      </w:r>
      <w:proofErr w:type="gramStart"/>
      <w:r>
        <w:rPr>
          <w:rFonts w:ascii="Arial" w:eastAsia="Times New Roman" w:hAnsi="Arial" w:cs="Arial"/>
          <w:color w:val="221F20"/>
          <w:sz w:val="21"/>
          <w:szCs w:val="21"/>
        </w:rPr>
        <w:t>decrease</w:t>
      </w:r>
      <w:proofErr w:type="gramEnd"/>
      <w:r>
        <w:rPr>
          <w:rFonts w:ascii="Arial" w:eastAsia="Times New Roman" w:hAnsi="Arial" w:cs="Arial"/>
          <w:color w:val="221F20"/>
          <w:sz w:val="21"/>
          <w:szCs w:val="21"/>
        </w:rPr>
        <w:t xml:space="preserve"> or opt out of their recurring order by contacting the distributor at any time prior to shipping.</w:t>
      </w:r>
      <w:r>
        <w:rPr>
          <w:rFonts w:ascii="Arial" w:eastAsia="Times New Roman" w:hAnsi="Arial" w:cs="Arial"/>
          <w:color w:val="221F20"/>
          <w:sz w:val="21"/>
          <w:szCs w:val="21"/>
        </w:rPr>
        <w:br/>
      </w:r>
      <w:r>
        <w:rPr>
          <w:rFonts w:ascii="Arial" w:eastAsia="Times New Roman" w:hAnsi="Arial" w:cs="Arial"/>
          <w:color w:val="221F20"/>
          <w:sz w:val="21"/>
          <w:szCs w:val="21"/>
        </w:rPr>
        <w:br/>
        <w:t>The following criteria must be met for a member to become eligible for the Return Program:</w:t>
      </w:r>
    </w:p>
    <w:tbl>
      <w:tblPr>
        <w:tblW w:w="10350" w:type="dxa"/>
        <w:shd w:val="clear" w:color="auto" w:fill="FFFFFF"/>
        <w:tblCellMar>
          <w:top w:w="100" w:type="dxa"/>
          <w:left w:w="100" w:type="dxa"/>
          <w:bottom w:w="100" w:type="dxa"/>
          <w:right w:w="100" w:type="dxa"/>
        </w:tblCellMar>
        <w:tblLook w:val="04A0" w:firstRow="1" w:lastRow="0" w:firstColumn="1" w:lastColumn="0" w:noHBand="0" w:noVBand="1"/>
      </w:tblPr>
      <w:tblGrid>
        <w:gridCol w:w="3411"/>
        <w:gridCol w:w="4925"/>
        <w:gridCol w:w="2014"/>
      </w:tblGrid>
      <w:tr w:rsidR="008F391D" w14:paraId="0D097624" w14:textId="77777777" w:rsidTr="008F391D">
        <w:tc>
          <w:tcPr>
            <w:tcW w:w="2835" w:type="dxa"/>
            <w:tcBorders>
              <w:top w:val="nil"/>
              <w:left w:val="nil"/>
              <w:bottom w:val="single" w:sz="6" w:space="0" w:color="999999"/>
              <w:right w:val="nil"/>
            </w:tcBorders>
            <w:shd w:val="clear" w:color="auto" w:fill="FFFFFF"/>
            <w:hideMark/>
          </w:tcPr>
          <w:p w14:paraId="047E5C27" w14:textId="77777777" w:rsidR="008F391D" w:rsidRDefault="008F391D">
            <w:pPr>
              <w:rPr>
                <w:rFonts w:ascii="Arial" w:eastAsia="Times New Roman" w:hAnsi="Arial" w:cs="Arial"/>
                <w:color w:val="221F20"/>
                <w:sz w:val="21"/>
                <w:szCs w:val="21"/>
              </w:rPr>
            </w:pPr>
          </w:p>
        </w:tc>
        <w:tc>
          <w:tcPr>
            <w:tcW w:w="4695" w:type="dxa"/>
            <w:tcBorders>
              <w:top w:val="nil"/>
              <w:left w:val="nil"/>
              <w:bottom w:val="single" w:sz="18" w:space="0" w:color="FF4E00"/>
              <w:right w:val="nil"/>
            </w:tcBorders>
            <w:shd w:val="clear" w:color="auto" w:fill="FFFFFF"/>
            <w:vAlign w:val="bottom"/>
            <w:hideMark/>
          </w:tcPr>
          <w:p w14:paraId="7EA1F7F1"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Minimum pre-booked qty. for 2024-25 season</w:t>
            </w:r>
          </w:p>
        </w:tc>
        <w:tc>
          <w:tcPr>
            <w:tcW w:w="1920" w:type="dxa"/>
            <w:tcBorders>
              <w:top w:val="nil"/>
              <w:left w:val="nil"/>
              <w:bottom w:val="single" w:sz="18" w:space="0" w:color="FF4E00"/>
              <w:right w:val="nil"/>
            </w:tcBorders>
            <w:shd w:val="clear" w:color="auto" w:fill="FFFFFF"/>
            <w:vAlign w:val="bottom"/>
            <w:hideMark/>
          </w:tcPr>
          <w:p w14:paraId="26B1C619" w14:textId="77777777" w:rsidR="008F391D" w:rsidRDefault="008F391D">
            <w:pPr>
              <w:spacing w:before="15" w:line="315" w:lineRule="exact"/>
              <w:rPr>
                <w:rFonts w:ascii="Arial" w:eastAsia="Times New Roman" w:hAnsi="Arial" w:cs="Arial"/>
                <w:color w:val="FF4E00"/>
                <w:sz w:val="21"/>
                <w:szCs w:val="21"/>
              </w:rPr>
            </w:pPr>
            <w:r>
              <w:rPr>
                <w:rFonts w:ascii="Arial" w:eastAsia="Times New Roman" w:hAnsi="Arial" w:cs="Arial"/>
                <w:color w:val="FF4E00"/>
                <w:sz w:val="21"/>
                <w:szCs w:val="21"/>
              </w:rPr>
              <w:t>Eligible returns %</w:t>
            </w:r>
          </w:p>
        </w:tc>
      </w:tr>
      <w:tr w:rsidR="008F391D" w14:paraId="4127F6B7" w14:textId="77777777" w:rsidTr="008F391D">
        <w:tc>
          <w:tcPr>
            <w:tcW w:w="0" w:type="auto"/>
            <w:tcBorders>
              <w:top w:val="nil"/>
              <w:left w:val="nil"/>
              <w:bottom w:val="single" w:sz="6" w:space="0" w:color="999999"/>
              <w:right w:val="nil"/>
            </w:tcBorders>
            <w:shd w:val="clear" w:color="auto" w:fill="FFFFFF"/>
            <w:hideMark/>
          </w:tcPr>
          <w:p w14:paraId="3F05FA60"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Recurring reservations participant</w:t>
            </w:r>
          </w:p>
        </w:tc>
        <w:tc>
          <w:tcPr>
            <w:tcW w:w="0" w:type="auto"/>
            <w:tcBorders>
              <w:top w:val="nil"/>
              <w:left w:val="nil"/>
              <w:bottom w:val="single" w:sz="6" w:space="0" w:color="999999"/>
              <w:right w:val="nil"/>
            </w:tcBorders>
            <w:shd w:val="clear" w:color="auto" w:fill="FFFFFF"/>
            <w:hideMark/>
          </w:tcPr>
          <w:p w14:paraId="636310A9"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100 doses</w:t>
            </w:r>
          </w:p>
        </w:tc>
        <w:tc>
          <w:tcPr>
            <w:tcW w:w="0" w:type="auto"/>
            <w:tcBorders>
              <w:top w:val="nil"/>
              <w:left w:val="nil"/>
              <w:bottom w:val="single" w:sz="6" w:space="0" w:color="999999"/>
              <w:right w:val="nil"/>
            </w:tcBorders>
            <w:shd w:val="clear" w:color="auto" w:fill="FFFFFF"/>
            <w:hideMark/>
          </w:tcPr>
          <w:p w14:paraId="6A8310CA"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xml:space="preserve">Up to 25% </w:t>
            </w:r>
          </w:p>
        </w:tc>
      </w:tr>
      <w:tr w:rsidR="008F391D" w14:paraId="55A2AC22" w14:textId="77777777" w:rsidTr="008F391D">
        <w:tc>
          <w:tcPr>
            <w:tcW w:w="0" w:type="auto"/>
            <w:tcBorders>
              <w:top w:val="nil"/>
              <w:left w:val="nil"/>
              <w:bottom w:val="single" w:sz="6" w:space="0" w:color="999999"/>
              <w:right w:val="nil"/>
            </w:tcBorders>
            <w:shd w:val="clear" w:color="auto" w:fill="FFFFFF"/>
            <w:hideMark/>
          </w:tcPr>
          <w:p w14:paraId="3530A273"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Recurring reservations non-participant</w:t>
            </w:r>
          </w:p>
        </w:tc>
        <w:tc>
          <w:tcPr>
            <w:tcW w:w="0" w:type="auto"/>
            <w:tcBorders>
              <w:top w:val="nil"/>
              <w:left w:val="nil"/>
              <w:bottom w:val="single" w:sz="6" w:space="0" w:color="999999"/>
              <w:right w:val="nil"/>
            </w:tcBorders>
            <w:shd w:val="clear" w:color="auto" w:fill="FFFFFF"/>
            <w:hideMark/>
          </w:tcPr>
          <w:p w14:paraId="25D4D2B2"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100 doses</w:t>
            </w:r>
          </w:p>
        </w:tc>
        <w:tc>
          <w:tcPr>
            <w:tcW w:w="0" w:type="auto"/>
            <w:tcBorders>
              <w:top w:val="nil"/>
              <w:left w:val="nil"/>
              <w:bottom w:val="single" w:sz="6" w:space="0" w:color="999999"/>
              <w:right w:val="nil"/>
            </w:tcBorders>
            <w:shd w:val="clear" w:color="auto" w:fill="FFFFFF"/>
            <w:hideMark/>
          </w:tcPr>
          <w:p w14:paraId="70A3C3FD" w14:textId="77777777" w:rsidR="008F391D" w:rsidRDefault="008F391D">
            <w:pPr>
              <w:spacing w:before="15" w:line="285" w:lineRule="exact"/>
              <w:rPr>
                <w:rFonts w:ascii="Arial" w:eastAsia="Times New Roman" w:hAnsi="Arial" w:cs="Arial"/>
                <w:color w:val="221F20"/>
                <w:sz w:val="18"/>
                <w:szCs w:val="18"/>
              </w:rPr>
            </w:pPr>
            <w:r>
              <w:rPr>
                <w:rFonts w:ascii="Arial" w:eastAsia="Times New Roman" w:hAnsi="Arial" w:cs="Arial"/>
                <w:color w:val="221F20"/>
                <w:sz w:val="18"/>
                <w:szCs w:val="18"/>
              </w:rPr>
              <w:t xml:space="preserve">Up to 15% </w:t>
            </w:r>
          </w:p>
        </w:tc>
      </w:tr>
    </w:tbl>
    <w:p w14:paraId="5CB26B7E" w14:textId="77777777" w:rsidR="008F391D" w:rsidRDefault="008F391D" w:rsidP="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br/>
      </w:r>
      <w:r>
        <w:rPr>
          <w:rStyle w:val="Strong"/>
          <w:rFonts w:ascii="Arial" w:eastAsia="Times New Roman" w:hAnsi="Arial" w:cs="Arial"/>
          <w:color w:val="221F20"/>
          <w:sz w:val="21"/>
          <w:szCs w:val="21"/>
        </w:rPr>
        <w:t>All eligible returns must be sent back to the Authorized Distributor no sooner than 15 days prior to the product's expiry, and no later than June 30, 2025.</w:t>
      </w:r>
    </w:p>
    <w:tbl>
      <w:tblPr>
        <w:tblW w:w="10350" w:type="dxa"/>
        <w:tblCellMar>
          <w:top w:w="40" w:type="dxa"/>
          <w:left w:w="40" w:type="dxa"/>
          <w:bottom w:w="40" w:type="dxa"/>
          <w:right w:w="40" w:type="dxa"/>
        </w:tblCellMar>
        <w:tblLook w:val="04A0" w:firstRow="1" w:lastRow="0" w:firstColumn="1" w:lastColumn="0" w:noHBand="0" w:noVBand="1"/>
      </w:tblPr>
      <w:tblGrid>
        <w:gridCol w:w="259"/>
        <w:gridCol w:w="10091"/>
      </w:tblGrid>
      <w:tr w:rsidR="008F391D" w14:paraId="33676342" w14:textId="77777777" w:rsidTr="008F391D">
        <w:tc>
          <w:tcPr>
            <w:tcW w:w="150" w:type="dxa"/>
            <w:hideMark/>
          </w:tcPr>
          <w:p w14:paraId="43D2A421"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1.</w:t>
            </w:r>
          </w:p>
        </w:tc>
        <w:tc>
          <w:tcPr>
            <w:tcW w:w="9960" w:type="dxa"/>
            <w:hideMark/>
          </w:tcPr>
          <w:p w14:paraId="02EF5A49"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 xml:space="preserve">Members may return the maximum allowable unused product that it ordered and received by Dec. 31, 2024. Return amount will be rounded down to the nearest full 10-dose pack. </w:t>
            </w:r>
          </w:p>
        </w:tc>
      </w:tr>
      <w:tr w:rsidR="008F391D" w14:paraId="32C40DC5" w14:textId="77777777" w:rsidTr="008F391D">
        <w:tc>
          <w:tcPr>
            <w:tcW w:w="150" w:type="dxa"/>
            <w:hideMark/>
          </w:tcPr>
          <w:p w14:paraId="2057B26C"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2.</w:t>
            </w:r>
          </w:p>
        </w:tc>
        <w:tc>
          <w:tcPr>
            <w:tcW w:w="9960" w:type="dxa"/>
            <w:hideMark/>
          </w:tcPr>
          <w:p w14:paraId="5F64A2BD"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Any claims for return of product must be in the form of multiples of 10 doses, unopened in original packaging. For each valid claim, the eligible members will receive a refund of 100% of the net price paid (e.g., List Price – Discount), by Sept. 30, 2025, if all the terms and conditions are met and barring any audit of the member returns eligibility by AstraZeneca or the Authorized Distributor.</w:t>
            </w:r>
          </w:p>
        </w:tc>
      </w:tr>
      <w:tr w:rsidR="008F391D" w14:paraId="147FBFC5" w14:textId="77777777" w:rsidTr="008F391D">
        <w:tc>
          <w:tcPr>
            <w:tcW w:w="150" w:type="dxa"/>
            <w:hideMark/>
          </w:tcPr>
          <w:p w14:paraId="265101A1"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3.</w:t>
            </w:r>
          </w:p>
        </w:tc>
        <w:tc>
          <w:tcPr>
            <w:tcW w:w="9960" w:type="dxa"/>
            <w:hideMark/>
          </w:tcPr>
          <w:p w14:paraId="0CB846C6" w14:textId="77777777" w:rsidR="008F391D" w:rsidRDefault="008F391D">
            <w:pPr>
              <w:spacing w:before="15" w:line="315" w:lineRule="exact"/>
              <w:rPr>
                <w:rFonts w:ascii="Arial" w:eastAsia="Times New Roman" w:hAnsi="Arial" w:cs="Arial"/>
                <w:color w:val="221F20"/>
                <w:sz w:val="21"/>
                <w:szCs w:val="21"/>
              </w:rPr>
            </w:pPr>
            <w:r>
              <w:rPr>
                <w:rFonts w:ascii="Arial" w:eastAsia="Times New Roman" w:hAnsi="Arial" w:cs="Arial"/>
                <w:color w:val="221F20"/>
                <w:sz w:val="21"/>
                <w:szCs w:val="21"/>
              </w:rPr>
              <w:t>Members are responsible for any associated return shipping costs in accordance with its Authorized Distributor's instructions.</w:t>
            </w:r>
          </w:p>
        </w:tc>
      </w:tr>
    </w:tbl>
    <w:p w14:paraId="03ECB7FF" w14:textId="77777777" w:rsidR="008F391D" w:rsidRDefault="008F391D" w:rsidP="008F391D">
      <w:pPr>
        <w:spacing w:before="15" w:after="240" w:line="315" w:lineRule="exact"/>
        <w:rPr>
          <w:rFonts w:ascii="Arial" w:eastAsia="Times New Roman" w:hAnsi="Arial" w:cs="Arial"/>
          <w:color w:val="221F20"/>
          <w:sz w:val="21"/>
          <w:szCs w:val="21"/>
        </w:rPr>
      </w:pPr>
      <w:r>
        <w:rPr>
          <w:rFonts w:ascii="Arial" w:eastAsia="Times New Roman" w:hAnsi="Arial" w:cs="Arial"/>
          <w:color w:val="221F20"/>
          <w:sz w:val="21"/>
          <w:szCs w:val="21"/>
        </w:rPr>
        <w:br/>
        <w:t xml:space="preserve">For more information, contact </w:t>
      </w:r>
      <w:hyperlink r:id="rId21" w:history="1">
        <w:r>
          <w:rPr>
            <w:rStyle w:val="Hyperlink"/>
            <w:rFonts w:ascii="Arial" w:eastAsia="Times New Roman" w:hAnsi="Arial" w:cs="Arial"/>
            <w:sz w:val="21"/>
            <w:szCs w:val="21"/>
          </w:rPr>
          <w:t>Jimmy Kim</w:t>
        </w:r>
      </w:hyperlink>
      <w:r>
        <w:rPr>
          <w:rFonts w:ascii="Arial" w:eastAsia="Times New Roman" w:hAnsi="Arial" w:cs="Arial"/>
          <w:color w:val="221F20"/>
          <w:sz w:val="21"/>
          <w:szCs w:val="21"/>
        </w:rPr>
        <w:t xml:space="preserve">, Vizient portfolio executive, at (972) 831-3537; or </w:t>
      </w:r>
      <w:hyperlink r:id="rId22" w:history="1">
        <w:r>
          <w:rPr>
            <w:rStyle w:val="Hyperlink"/>
            <w:rFonts w:ascii="Arial" w:eastAsia="Times New Roman" w:hAnsi="Arial" w:cs="Arial"/>
            <w:sz w:val="21"/>
            <w:szCs w:val="21"/>
          </w:rPr>
          <w:t>Amy Wood</w:t>
        </w:r>
      </w:hyperlink>
      <w:r>
        <w:rPr>
          <w:rFonts w:ascii="Arial" w:eastAsia="Times New Roman" w:hAnsi="Arial" w:cs="Arial"/>
          <w:color w:val="221F20"/>
          <w:sz w:val="21"/>
          <w:szCs w:val="21"/>
        </w:rPr>
        <w:t>, AstraZeneca national account manager, at (856) 430-5457.</w:t>
      </w:r>
      <w:r>
        <w:rPr>
          <w:rFonts w:ascii="Arial" w:eastAsia="Times New Roman" w:hAnsi="Arial" w:cs="Arial"/>
          <w:color w:val="221F20"/>
          <w:sz w:val="21"/>
          <w:szCs w:val="21"/>
        </w:rPr>
        <w:br/>
      </w:r>
      <w:r>
        <w:rPr>
          <w:rFonts w:ascii="Arial" w:eastAsia="Times New Roman" w:hAnsi="Arial" w:cs="Arial"/>
          <w:color w:val="221F20"/>
          <w:sz w:val="21"/>
          <w:szCs w:val="21"/>
        </w:rPr>
        <w:br/>
      </w:r>
      <w:r>
        <w:rPr>
          <w:rStyle w:val="Emphasis"/>
          <w:rFonts w:ascii="Arial" w:eastAsia="Times New Roman" w:hAnsi="Arial" w:cs="Arial"/>
          <w:color w:val="221F20"/>
          <w:sz w:val="21"/>
          <w:szCs w:val="21"/>
        </w:rPr>
        <w:t>Classes of Trade: Acute Care, Ambulatory Care, Disproportionate Share Hospital, Long-Term Care, Home Health Care, Staff Model, Physician Offices/Clinics</w:t>
      </w:r>
    </w:p>
    <w:p w14:paraId="6366B19C" w14:textId="77777777" w:rsidR="004F7168" w:rsidRDefault="004F7168"/>
    <w:sectPr w:rsidR="004F7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1D"/>
    <w:rsid w:val="004F7168"/>
    <w:rsid w:val="008C7CED"/>
    <w:rsid w:val="008F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BB6B"/>
  <w15:chartTrackingRefBased/>
  <w15:docId w15:val="{B0E43030-5788-440E-A188-6800FB3C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1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91D"/>
    <w:rPr>
      <w:strike w:val="0"/>
      <w:dstrike w:val="0"/>
      <w:color w:val="FF4E00"/>
      <w:u w:val="none"/>
      <w:effect w:val="none"/>
    </w:rPr>
  </w:style>
  <w:style w:type="character" w:styleId="Strong">
    <w:name w:val="Strong"/>
    <w:basedOn w:val="DefaultParagraphFont"/>
    <w:uiPriority w:val="22"/>
    <w:qFormat/>
    <w:rsid w:val="008F391D"/>
    <w:rPr>
      <w:b/>
      <w:bCs/>
    </w:rPr>
  </w:style>
  <w:style w:type="character" w:styleId="Emphasis">
    <w:name w:val="Emphasis"/>
    <w:basedOn w:val="DefaultParagraphFont"/>
    <w:uiPriority w:val="20"/>
    <w:qFormat/>
    <w:rsid w:val="008F3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vizientinc.com/e/73872/2024-01-11/31nznwq/2017055628/h/HPYcWWtdUX4M3utp9PO-GoHkjLM0979TqdbzWfQtyvk" TargetMode="External"/><Relationship Id="rId13" Type="http://schemas.openxmlformats.org/officeDocument/2006/relationships/hyperlink" Target="https://info.vizientinc.com/e/73872/2024-01-11/31nznwq/2017055628/h/HPYcWWtdUX4M3utp9PO-GoHkjLM0979TqdbzWfQtyvk" TargetMode="External"/><Relationship Id="rId18" Type="http://schemas.openxmlformats.org/officeDocument/2006/relationships/hyperlink" Target="https://info.vizientinc.com/e/73872/us-vsh-en-USD/31nznwt/2017055628/h/HPYcWWtdUX4M3utp9PO-GoHkjLM0979TqdbzWfQtyvk" TargetMode="External"/><Relationship Id="rId3" Type="http://schemas.openxmlformats.org/officeDocument/2006/relationships/webSettings" Target="webSettings.xml"/><Relationship Id="rId21" Type="http://schemas.openxmlformats.org/officeDocument/2006/relationships/hyperlink" Target="mailto:jimmy.kim@vizientinc.com" TargetMode="External"/><Relationship Id="rId7" Type="http://schemas.openxmlformats.org/officeDocument/2006/relationships/hyperlink" Target="https://info.vizientinc.com/e/73872/2024-01-11/31nznwq/2017055628/h/HPYcWWtdUX4M3utp9PO-GoHkjLM0979TqdbzWfQtyvk" TargetMode="External"/><Relationship Id="rId12" Type="http://schemas.openxmlformats.org/officeDocument/2006/relationships/hyperlink" Target="https://info.vizientinc.com/e/73872/2024-01-11/31nznwq/2017055628/h/HPYcWWtdUX4M3utp9PO-GoHkjLM0979TqdbzWfQtyvk" TargetMode="External"/><Relationship Id="rId17" Type="http://schemas.openxmlformats.org/officeDocument/2006/relationships/hyperlink" Target="https://info.vizientinc.com/e/73872/us-vsh-en-USD/31nznwt/2017055628/h/HPYcWWtdUX4M3utp9PO-GoHkjLM0979TqdbzWfQtyvk" TargetMode="External"/><Relationship Id="rId2" Type="http://schemas.openxmlformats.org/officeDocument/2006/relationships/settings" Target="settings.xml"/><Relationship Id="rId16" Type="http://schemas.openxmlformats.org/officeDocument/2006/relationships/hyperlink" Target="https://info.vizientinc.com/e/73872/us-vsh-en-USD/31nznwt/2017055628/h/HPYcWWtdUX4M3utp9PO-GoHkjLM0979TqdbzWfQtyvk" TargetMode="External"/><Relationship Id="rId20" Type="http://schemas.openxmlformats.org/officeDocument/2006/relationships/hyperlink" Target="mailto:kelley.charlton@sanofi.com"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info.vizientinc.com/e/73872/2024-01-11/31nznwq/2017055628/h/HPYcWWtdUX4M3utp9PO-GoHkjLM0979TqdbzWfQtyvk" TargetMode="External"/><Relationship Id="rId24" Type="http://schemas.openxmlformats.org/officeDocument/2006/relationships/theme" Target="theme/theme1.xml"/><Relationship Id="rId5" Type="http://schemas.openxmlformats.org/officeDocument/2006/relationships/hyperlink" Target="#emailtop"/><Relationship Id="rId15" Type="http://schemas.openxmlformats.org/officeDocument/2006/relationships/hyperlink" Target="mailto:mike.x.king@gsk.com" TargetMode="External"/><Relationship Id="rId23" Type="http://schemas.openxmlformats.org/officeDocument/2006/relationships/fontTable" Target="fontTable.xml"/><Relationship Id="rId10" Type="http://schemas.openxmlformats.org/officeDocument/2006/relationships/hyperlink" Target="https://info.vizientinc.com/e/73872/2024-01-11/31nznwq/2017055628/h/HPYcWWtdUX4M3utp9PO-GoHkjLM0979TqdbzWfQtyvk" TargetMode="External"/><Relationship Id="rId19" Type="http://schemas.openxmlformats.org/officeDocument/2006/relationships/hyperlink" Target="mailto:Jacob.Salmon@vizientinc.com" TargetMode="External"/><Relationship Id="rId4" Type="http://schemas.openxmlformats.org/officeDocument/2006/relationships/image" Target="media/image1.gif"/><Relationship Id="rId9" Type="http://schemas.openxmlformats.org/officeDocument/2006/relationships/hyperlink" Target="https://info.vizientinc.com/e/73872/2024-01-11/31nznwq/2017055628/h/HPYcWWtdUX4M3utp9PO-GoHkjLM0979TqdbzWfQtyvk" TargetMode="External"/><Relationship Id="rId14" Type="http://schemas.openxmlformats.org/officeDocument/2006/relationships/hyperlink" Target="mailto:jacob.salmon@vizientinc.com" TargetMode="External"/><Relationship Id="rId22" Type="http://schemas.openxmlformats.org/officeDocument/2006/relationships/hyperlink" Target="mailto:Amy.Wood@astrazene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3011</Words>
  <Characters>17166</Characters>
  <Application>Microsoft Office Word</Application>
  <DocSecurity>0</DocSecurity>
  <Lines>143</Lines>
  <Paragraphs>40</Paragraphs>
  <ScaleCrop>false</ScaleCrop>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Hartpence,George</dc:creator>
  <cp:keywords/>
  <dc:description/>
  <cp:lastModifiedBy>Hartpence,George</cp:lastModifiedBy>
  <cp:revision>2</cp:revision>
  <dcterms:created xsi:type="dcterms:W3CDTF">2024-01-12T16:05:00Z</dcterms:created>
  <dcterms:modified xsi:type="dcterms:W3CDTF">2024-01-12T16:05:00Z</dcterms:modified>
</cp:coreProperties>
</file>